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A9100" w14:textId="7EBC068F" w:rsidR="00AA1335" w:rsidRPr="00AA1335" w:rsidRDefault="00AA1335" w:rsidP="00AA13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275317" w:themeFill="accent6" w:themeFillShade="80"/>
        <w:spacing w:before="240" w:after="0" w:line="240" w:lineRule="auto"/>
        <w:jc w:val="center"/>
        <w:rPr>
          <w:rFonts w:ascii="Calibri" w:eastAsia="Times New Roman" w:hAnsi="Calibri" w:cs="Calibri"/>
          <w:color w:val="FFFFFF" w:themeColor="background1"/>
          <w:sz w:val="28"/>
          <w:szCs w:val="28"/>
          <w:lang w:eastAsia="it-IT"/>
        </w:rPr>
      </w:pPr>
      <w:r w:rsidRPr="00AA1335">
        <w:rPr>
          <w:rFonts w:ascii="Calibri" w:eastAsia="Times New Roman" w:hAnsi="Calibri" w:cs="Calibri"/>
          <w:b/>
          <w:bCs/>
          <w:color w:val="FFFFFF" w:themeColor="background1"/>
          <w:sz w:val="28"/>
          <w:szCs w:val="28"/>
          <w:lang w:eastAsia="it-IT"/>
        </w:rPr>
        <w:t>Rottamazione-quinquies Enti Locali e Regioni: domande al via dal 16 ottobre 2026</w:t>
      </w:r>
    </w:p>
    <w:p w14:paraId="41096712" w14:textId="77777777" w:rsidR="00AA1335" w:rsidRPr="00AA1335" w:rsidRDefault="00AA1335" w:rsidP="00AA1335">
      <w:pPr>
        <w:spacing w:before="100" w:beforeAutospacing="1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>L’Agenzia delle Entrate-Riscossione (</w:t>
      </w:r>
      <w:proofErr w:type="spellStart"/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>AdER</w:t>
      </w:r>
      <w:proofErr w:type="spellEnd"/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>) ha diffuso le istruzioni operative per la Definizione Agevolata dei debiti verso Enti Locali e Regioni (IMU, TARI, bollo auto, multe stradali e altre entrate), aggiornate secondo la Legge n. 113/2026.</w:t>
      </w:r>
    </w:p>
    <w:p w14:paraId="20C3EE9D" w14:textId="77777777" w:rsidR="00AA1335" w:rsidRPr="00AA1335" w:rsidRDefault="00AA1335" w:rsidP="00AA1335">
      <w:pPr>
        <w:spacing w:before="120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>Ecco i punti fondamentali per capire come funziona e chi può accedere alla sanatoria.</w:t>
      </w:r>
    </w:p>
    <w:p w14:paraId="17A5C50B" w14:textId="77777777" w:rsidR="00AA1335" w:rsidRPr="00AA1335" w:rsidRDefault="00AA1335" w:rsidP="00AA1335">
      <w:pPr>
        <w:pBdr>
          <w:bottom w:val="single" w:sz="4" w:space="1" w:color="auto"/>
        </w:pBdr>
        <w:spacing w:before="100" w:beforeAutospacing="1" w:after="0" w:line="240" w:lineRule="auto"/>
        <w:jc w:val="both"/>
        <w:outlineLvl w:val="2"/>
        <w:rPr>
          <w:rFonts w:ascii="Calibri" w:eastAsia="Times New Roman" w:hAnsi="Calibri" w:cs="Calibri"/>
          <w:b/>
          <w:bCs/>
          <w:color w:val="275317" w:themeColor="accent6" w:themeShade="80"/>
          <w:sz w:val="27"/>
          <w:szCs w:val="27"/>
          <w:lang w:eastAsia="it-IT"/>
        </w:rPr>
      </w:pPr>
      <w:r w:rsidRPr="00AA1335">
        <w:rPr>
          <w:rFonts w:ascii="Calibri" w:eastAsia="Times New Roman" w:hAnsi="Calibri" w:cs="Calibri"/>
          <w:b/>
          <w:bCs/>
          <w:color w:val="275317" w:themeColor="accent6" w:themeShade="80"/>
          <w:sz w:val="27"/>
          <w:szCs w:val="27"/>
          <w:lang w:eastAsia="it-IT"/>
        </w:rPr>
        <w:t>Requisiti di accesso</w:t>
      </w:r>
    </w:p>
    <w:p w14:paraId="4D84FFD3" w14:textId="77777777" w:rsidR="00AA1335" w:rsidRPr="00AA1335" w:rsidRDefault="00AA1335" w:rsidP="00AA133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>Per rientrare nella definizione agevolata devono sussistere contemporaneamente queste condizioni:</w:t>
      </w:r>
    </w:p>
    <w:p w14:paraId="025730C6" w14:textId="77777777" w:rsidR="00AA1335" w:rsidRPr="00AA1335" w:rsidRDefault="00AA1335" w:rsidP="00AA1335">
      <w:pPr>
        <w:numPr>
          <w:ilvl w:val="0"/>
          <w:numId w:val="1"/>
        </w:numPr>
        <w:spacing w:before="120" w:after="100" w:afterAutospacing="1" w:line="240" w:lineRule="auto"/>
        <w:ind w:left="473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Enti aderenti:</w:t>
      </w: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Il debito deve essere dovuto a un Comune o a una Regione che ha deliberato l'adesione entro il 31 luglio 2026 (tra le Regioni che hanno detto sì figurano Basilicata, Campania, Lazio, Umbria e Puglia).</w:t>
      </w:r>
    </w:p>
    <w:p w14:paraId="65F6DDB7" w14:textId="77777777" w:rsidR="00AA1335" w:rsidRPr="00AA1335" w:rsidRDefault="00AA1335" w:rsidP="00AA1335">
      <w:pPr>
        <w:numPr>
          <w:ilvl w:val="0"/>
          <w:numId w:val="1"/>
        </w:numPr>
        <w:spacing w:before="100" w:beforeAutospacing="1" w:after="100" w:afterAutospacing="1" w:line="240" w:lineRule="auto"/>
        <w:ind w:left="473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Periodo del carico:</w:t>
      </w: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I debiti devono essere stati affidati </w:t>
      </w:r>
      <w:proofErr w:type="gramStart"/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>ad</w:t>
      </w:r>
      <w:proofErr w:type="gramEnd"/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proofErr w:type="spellStart"/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>AdER</w:t>
      </w:r>
      <w:proofErr w:type="spellEnd"/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tra il 1° gennaio 2000 e il 31 dicembre 2023.</w:t>
      </w:r>
    </w:p>
    <w:p w14:paraId="4AA4A1C1" w14:textId="77777777" w:rsidR="00AA1335" w:rsidRPr="00AA1335" w:rsidRDefault="00AA1335" w:rsidP="00AA1335">
      <w:pPr>
        <w:numPr>
          <w:ilvl w:val="0"/>
          <w:numId w:val="1"/>
        </w:numPr>
        <w:spacing w:before="100" w:beforeAutospacing="1" w:after="100" w:afterAutospacing="1" w:line="240" w:lineRule="auto"/>
        <w:ind w:left="473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Criterio dell'Ente:</w:t>
      </w: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Non conta la residenza del contribuente, ma l'ente creditore che possiede il credito.</w:t>
      </w:r>
    </w:p>
    <w:p w14:paraId="28DE45A7" w14:textId="77777777" w:rsidR="00AA1335" w:rsidRPr="00AA1335" w:rsidRDefault="00AA1335" w:rsidP="00AA1335">
      <w:pPr>
        <w:pBdr>
          <w:bottom w:val="single" w:sz="4" w:space="1" w:color="auto"/>
        </w:pBdr>
        <w:spacing w:before="100" w:beforeAutospacing="1" w:after="0" w:line="240" w:lineRule="auto"/>
        <w:jc w:val="both"/>
        <w:outlineLvl w:val="2"/>
        <w:rPr>
          <w:rFonts w:ascii="Calibri" w:eastAsia="Times New Roman" w:hAnsi="Calibri" w:cs="Calibri"/>
          <w:b/>
          <w:bCs/>
          <w:color w:val="275317" w:themeColor="accent6" w:themeShade="80"/>
          <w:sz w:val="27"/>
          <w:szCs w:val="27"/>
          <w:lang w:eastAsia="it-IT"/>
        </w:rPr>
      </w:pPr>
      <w:r w:rsidRPr="00AA1335">
        <w:rPr>
          <w:rFonts w:ascii="Calibri" w:eastAsia="Times New Roman" w:hAnsi="Calibri" w:cs="Calibri"/>
          <w:b/>
          <w:bCs/>
          <w:color w:val="275317" w:themeColor="accent6" w:themeShade="80"/>
          <w:sz w:val="27"/>
          <w:szCs w:val="27"/>
          <w:lang w:eastAsia="it-IT"/>
        </w:rPr>
        <w:t>Quali sconti si ottengono?</w:t>
      </w:r>
    </w:p>
    <w:p w14:paraId="7222D7A7" w14:textId="77777777" w:rsidR="00AA1335" w:rsidRPr="00AA1335" w:rsidRDefault="00AA1335" w:rsidP="00AA1335">
      <w:pPr>
        <w:numPr>
          <w:ilvl w:val="0"/>
          <w:numId w:val="2"/>
        </w:numPr>
        <w:spacing w:before="120" w:after="100" w:afterAutospacing="1" w:line="240" w:lineRule="auto"/>
        <w:ind w:left="473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Tributi locali (IMU, TARI, Bollo Auto, ecc.):</w:t>
      </w: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Si estinguono senza versare sanzioni e interessi.</w:t>
      </w:r>
    </w:p>
    <w:p w14:paraId="3DB82684" w14:textId="77777777" w:rsidR="00AA1335" w:rsidRPr="00AA1335" w:rsidRDefault="00AA1335" w:rsidP="00AA1335">
      <w:pPr>
        <w:numPr>
          <w:ilvl w:val="0"/>
          <w:numId w:val="2"/>
        </w:numPr>
        <w:spacing w:before="100" w:beforeAutospacing="1" w:after="100" w:afterAutospacing="1" w:line="240" w:lineRule="auto"/>
        <w:ind w:left="473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Multe stradali:</w:t>
      </w: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Lo sconto riguarda solo gli interessi e l'aggio. La sanzione amministrativa principale resta interamente dovuta.</w:t>
      </w:r>
    </w:p>
    <w:p w14:paraId="5CAA71BD" w14:textId="77777777" w:rsidR="00AA1335" w:rsidRPr="00AA1335" w:rsidRDefault="00AA1335" w:rsidP="00AA1335">
      <w:pPr>
        <w:pBdr>
          <w:bottom w:val="single" w:sz="4" w:space="1" w:color="auto"/>
        </w:pBdr>
        <w:spacing w:before="100" w:beforeAutospacing="1" w:after="0" w:line="240" w:lineRule="auto"/>
        <w:jc w:val="both"/>
        <w:outlineLvl w:val="2"/>
        <w:rPr>
          <w:rFonts w:ascii="Calibri" w:eastAsia="Times New Roman" w:hAnsi="Calibri" w:cs="Calibri"/>
          <w:b/>
          <w:bCs/>
          <w:color w:val="275317" w:themeColor="accent6" w:themeShade="80"/>
          <w:sz w:val="27"/>
          <w:szCs w:val="27"/>
          <w:lang w:eastAsia="it-IT"/>
        </w:rPr>
      </w:pPr>
      <w:r w:rsidRPr="00AA1335">
        <w:rPr>
          <w:rFonts w:ascii="Calibri" w:eastAsia="Times New Roman" w:hAnsi="Calibri" w:cs="Calibri"/>
          <w:b/>
          <w:bCs/>
          <w:color w:val="275317" w:themeColor="accent6" w:themeShade="80"/>
          <w:sz w:val="27"/>
          <w:szCs w:val="27"/>
          <w:lang w:eastAsia="it-IT"/>
        </w:rPr>
        <w:t>Le scadenze da segnare in agenda</w:t>
      </w:r>
    </w:p>
    <w:p w14:paraId="11DA4D0F" w14:textId="77777777" w:rsidR="00AA1335" w:rsidRPr="00AA1335" w:rsidRDefault="00AA1335" w:rsidP="00AA1335">
      <w:pPr>
        <w:numPr>
          <w:ilvl w:val="0"/>
          <w:numId w:val="3"/>
        </w:numPr>
        <w:spacing w:before="120" w:after="100" w:afterAutospacing="1" w:line="240" w:lineRule="auto"/>
        <w:ind w:left="473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Entro il 15 ottobre 2026:</w:t>
      </w: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proofErr w:type="spellStart"/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>AdER</w:t>
      </w:r>
      <w:proofErr w:type="spellEnd"/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metterà a disposizione online i dati per individuare i carichi definibili nell'area riservata.</w:t>
      </w:r>
    </w:p>
    <w:p w14:paraId="7ECAF36A" w14:textId="77777777" w:rsidR="00AA1335" w:rsidRPr="00AA1335" w:rsidRDefault="00AA1335" w:rsidP="00AA1335">
      <w:pPr>
        <w:numPr>
          <w:ilvl w:val="0"/>
          <w:numId w:val="3"/>
        </w:numPr>
        <w:spacing w:before="100" w:beforeAutospacing="1" w:after="100" w:afterAutospacing="1" w:line="240" w:lineRule="auto"/>
        <w:ind w:left="473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Dal 16 ottobre al 15 dicembre 2026:</w:t>
      </w: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Finestra per l'invio telematico della domanda di adesione da parte dei contribuenti.</w:t>
      </w:r>
    </w:p>
    <w:p w14:paraId="4AE927D6" w14:textId="77777777" w:rsidR="00AA1335" w:rsidRPr="00AA1335" w:rsidRDefault="00AA1335" w:rsidP="00AA1335">
      <w:pPr>
        <w:numPr>
          <w:ilvl w:val="0"/>
          <w:numId w:val="3"/>
        </w:numPr>
        <w:spacing w:before="100" w:beforeAutospacing="1" w:after="100" w:afterAutospacing="1" w:line="240" w:lineRule="auto"/>
        <w:ind w:left="473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Entro il 28 febbraio 2027:</w:t>
      </w: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proofErr w:type="spellStart"/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>AdER</w:t>
      </w:r>
      <w:proofErr w:type="spellEnd"/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invierà la comunicazione con l'importo dovuto e il piano di rateizzazione.</w:t>
      </w:r>
    </w:p>
    <w:p w14:paraId="6DAA202B" w14:textId="77777777" w:rsidR="00AA1335" w:rsidRPr="00AA1335" w:rsidRDefault="00AA1335" w:rsidP="00AA1335">
      <w:pPr>
        <w:numPr>
          <w:ilvl w:val="0"/>
          <w:numId w:val="3"/>
        </w:numPr>
        <w:spacing w:before="100" w:beforeAutospacing="1" w:after="100" w:afterAutospacing="1" w:line="240" w:lineRule="auto"/>
        <w:ind w:left="473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Entro il 31 marzo 2027:</w:t>
      </w: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 xml:space="preserve"> Pagamento in un'unica soluzione o della prima rata. Sarà possibile rateizzare l'importo fino a un massimo di 54 rate bimestrali (con interessi del 3% annuo a decorrere dal 1° aprile 2027).</w:t>
      </w:r>
    </w:p>
    <w:p w14:paraId="32A11340" w14:textId="77777777" w:rsidR="00AA1335" w:rsidRPr="00AA1335" w:rsidRDefault="00AA1335" w:rsidP="00AA133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AA1335">
        <w:rPr>
          <w:rFonts w:ascii="Calibri" w:eastAsia="Times New Roman" w:hAnsi="Calibri" w:cs="Calibri"/>
          <w:sz w:val="24"/>
          <w:szCs w:val="24"/>
          <w:lang w:eastAsia="it-IT"/>
        </w:rPr>
        <w:t>Nota: La definizione perde efficacia in caso di mancato pagamento dell'unica rata, di omesso/insufficiente versamento di due rate (anche non consecutive) o dell'ultima rata.</w:t>
      </w:r>
    </w:p>
    <w:p w14:paraId="147A43E3" w14:textId="77777777" w:rsidR="00821C7A" w:rsidRPr="00AA1335" w:rsidRDefault="00821C7A" w:rsidP="00AA1335">
      <w:pPr>
        <w:jc w:val="both"/>
        <w:rPr>
          <w:rFonts w:ascii="Calibri" w:hAnsi="Calibri" w:cs="Calibri"/>
        </w:rPr>
      </w:pPr>
    </w:p>
    <w:sectPr w:rsidR="00821C7A" w:rsidRPr="00AA133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143A" w14:textId="77777777" w:rsidR="002D7A49" w:rsidRDefault="002D7A49" w:rsidP="00AA1335">
      <w:pPr>
        <w:spacing w:after="0" w:line="240" w:lineRule="auto"/>
      </w:pPr>
      <w:r>
        <w:separator/>
      </w:r>
    </w:p>
  </w:endnote>
  <w:endnote w:type="continuationSeparator" w:id="0">
    <w:p w14:paraId="73953814" w14:textId="77777777" w:rsidR="002D7A49" w:rsidRDefault="002D7A49" w:rsidP="00AA1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95460" w14:textId="77777777" w:rsidR="002D7A49" w:rsidRDefault="002D7A49" w:rsidP="00AA1335">
      <w:pPr>
        <w:spacing w:after="0" w:line="240" w:lineRule="auto"/>
      </w:pPr>
      <w:r>
        <w:separator/>
      </w:r>
    </w:p>
  </w:footnote>
  <w:footnote w:type="continuationSeparator" w:id="0">
    <w:p w14:paraId="22A13D44" w14:textId="77777777" w:rsidR="002D7A49" w:rsidRDefault="002D7A49" w:rsidP="00AA1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B220" w14:textId="2B80C0EA" w:rsidR="00AA1335" w:rsidRDefault="00AA1335">
    <w:pPr>
      <w:pStyle w:val="Intestazione"/>
    </w:pPr>
    <w:r w:rsidRPr="0088697D">
      <w:rPr>
        <w:rFonts w:ascii="Calibri" w:eastAsia="Times New Roman" w:hAnsi="Calibri" w:cs="Calibri"/>
        <w:noProof/>
        <w:sz w:val="16"/>
        <w:szCs w:val="16"/>
        <w:lang w:eastAsia="it-IT"/>
      </w:rPr>
      <w:drawing>
        <wp:inline distT="0" distB="0" distL="0" distR="0" wp14:anchorId="0575993E" wp14:editId="0B8496E6">
          <wp:extent cx="1409458" cy="474205"/>
          <wp:effectExtent l="0" t="0" r="635" b="2540"/>
          <wp:docPr id="547060387" name="Immagine 3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7060387" name="Immagine 3" descr="Immagine che contiene testo, Carattere, logo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651" cy="503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DCC"/>
    <w:multiLevelType w:val="multilevel"/>
    <w:tmpl w:val="51604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8710FA"/>
    <w:multiLevelType w:val="multilevel"/>
    <w:tmpl w:val="1090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A20794"/>
    <w:multiLevelType w:val="multilevel"/>
    <w:tmpl w:val="EBD4B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96724">
    <w:abstractNumId w:val="1"/>
  </w:num>
  <w:num w:numId="2" w16cid:durableId="121273221">
    <w:abstractNumId w:val="0"/>
  </w:num>
  <w:num w:numId="3" w16cid:durableId="1157695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49"/>
    <w:rsid w:val="00177DB1"/>
    <w:rsid w:val="002D7A49"/>
    <w:rsid w:val="00585C70"/>
    <w:rsid w:val="00680BBE"/>
    <w:rsid w:val="00821C7A"/>
    <w:rsid w:val="008A4249"/>
    <w:rsid w:val="00AA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F395"/>
  <w15:chartTrackingRefBased/>
  <w15:docId w15:val="{52134D16-3A9F-44AA-967C-A5EAB64E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4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4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42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4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42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4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4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4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4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42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42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42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424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424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42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42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42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42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4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4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4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4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4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42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424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424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42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424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424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A13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1335"/>
  </w:style>
  <w:style w:type="paragraph" w:styleId="Pidipagina">
    <w:name w:val="footer"/>
    <w:basedOn w:val="Normale"/>
    <w:link w:val="PidipaginaCarattere"/>
    <w:uiPriority w:val="99"/>
    <w:unhideWhenUsed/>
    <w:rsid w:val="00AA13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1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Mangione</dc:creator>
  <cp:keywords/>
  <dc:description/>
  <cp:lastModifiedBy>Antonio Mangione</cp:lastModifiedBy>
  <cp:revision>2</cp:revision>
  <cp:lastPrinted>2026-09-24T10:43:00Z</cp:lastPrinted>
  <dcterms:created xsi:type="dcterms:W3CDTF">2026-09-24T10:45:00Z</dcterms:created>
  <dcterms:modified xsi:type="dcterms:W3CDTF">2026-09-24T10:45:00Z</dcterms:modified>
</cp:coreProperties>
</file>