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CD73" w14:textId="77777777" w:rsidR="00440571" w:rsidRPr="00102A21" w:rsidRDefault="00440571" w:rsidP="00440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 w:line="240" w:lineRule="auto"/>
        <w:rPr>
          <w:rFonts w:cs="Calibri"/>
          <w:b/>
          <w:bCs/>
          <w:color w:val="275317"/>
          <w:sz w:val="32"/>
          <w:szCs w:val="32"/>
        </w:rPr>
      </w:pPr>
      <w:r w:rsidRPr="00102A21">
        <w:rPr>
          <w:rFonts w:cs="Calibri"/>
          <w:b/>
          <w:bCs/>
          <w:color w:val="275317"/>
          <w:sz w:val="32"/>
          <w:szCs w:val="32"/>
        </w:rPr>
        <w:t>Certificazione Unica 2026 – Scadenze</w:t>
      </w:r>
    </w:p>
    <w:p w14:paraId="1EFDA94B" w14:textId="77777777" w:rsidR="00440571" w:rsidRDefault="00440571" w:rsidP="00440571">
      <w:pPr>
        <w:shd w:val="clear" w:color="auto" w:fill="FFFFFF"/>
        <w:spacing w:after="0" w:line="240" w:lineRule="auto"/>
        <w:outlineLvl w:val="0"/>
        <w:rPr>
          <w:rFonts w:cs="Calibri"/>
        </w:rPr>
      </w:pPr>
    </w:p>
    <w:p w14:paraId="0454671C" w14:textId="77777777" w:rsidR="00440571" w:rsidRPr="00423068" w:rsidRDefault="00440571" w:rsidP="00440571">
      <w:pPr>
        <w:spacing w:after="240"/>
        <w:jc w:val="both"/>
        <w:rPr>
          <w:rFonts w:cs="Calibri"/>
          <w:sz w:val="24"/>
          <w:szCs w:val="24"/>
        </w:rPr>
      </w:pPr>
      <w:r w:rsidRPr="00423068">
        <w:rPr>
          <w:rFonts w:cs="Calibri"/>
          <w:sz w:val="24"/>
          <w:szCs w:val="24"/>
        </w:rPr>
        <w:t xml:space="preserve">La CU 2026 (redditi 2025) recepisce le modifiche normative intervenute nel biennio 2024–2025 e </w:t>
      </w:r>
      <w:r w:rsidRPr="00423068">
        <w:rPr>
          <w:rFonts w:cs="Calibri"/>
          <w:sz w:val="24"/>
          <w:szCs w:val="24"/>
          <w:u w:val="single"/>
        </w:rPr>
        <w:t>introduce una</w:t>
      </w:r>
      <w:r w:rsidRPr="00423068">
        <w:rPr>
          <w:rFonts w:cs="Calibri"/>
          <w:sz w:val="24"/>
          <w:szCs w:val="24"/>
        </w:rPr>
        <w:t xml:space="preserve"> </w:t>
      </w:r>
      <w:r w:rsidRPr="00423068">
        <w:rPr>
          <w:rFonts w:cs="Calibri"/>
          <w:sz w:val="24"/>
          <w:szCs w:val="24"/>
          <w:u w:val="single"/>
        </w:rPr>
        <w:t>differenziazione dei termini di trasmissione</w:t>
      </w:r>
      <w:r w:rsidRPr="00423068">
        <w:rPr>
          <w:rFonts w:cs="Calibri"/>
          <w:sz w:val="24"/>
          <w:szCs w:val="24"/>
        </w:rPr>
        <w:t xml:space="preserve"> in base alla natura del reddito certificato. La corretta individuazione della tipologia reddituale assume quindi rilievo determinante ai fini del rispetto delle scadenze e della gestione del relativo regime sanzionatorio.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059"/>
      </w:tblGrid>
      <w:tr w:rsidR="00440571" w:rsidRPr="00102A21" w14:paraId="5E3C80F5" w14:textId="77777777" w:rsidTr="009003C6">
        <w:tc>
          <w:tcPr>
            <w:tcW w:w="2830" w:type="dxa"/>
          </w:tcPr>
          <w:p w14:paraId="35044DE0" w14:textId="77777777" w:rsidR="00440571" w:rsidRPr="00102A21" w:rsidRDefault="00440571" w:rsidP="009003C6">
            <w:pPr>
              <w:pBdr>
                <w:bottom w:val="single" w:sz="4" w:space="1" w:color="auto"/>
              </w:pBdr>
              <w:spacing w:before="120" w:after="120"/>
              <w:jc w:val="both"/>
              <w:rPr>
                <w:rFonts w:ascii="Aptos Display" w:eastAsia="Arial" w:hAnsi="Aptos Display" w:cs="Aptos Display"/>
                <w:b/>
                <w:bCs/>
                <w:color w:val="13290C"/>
                <w:sz w:val="24"/>
                <w:szCs w:val="24"/>
              </w:rPr>
            </w:pPr>
            <w:r w:rsidRPr="00102A21">
              <w:rPr>
                <w:rFonts w:ascii="Aptos Display" w:eastAsia="Arial" w:hAnsi="Aptos Display" w:cs="Aptos Display"/>
                <w:b/>
                <w:bCs/>
                <w:color w:val="13290C"/>
                <w:sz w:val="24"/>
                <w:szCs w:val="24"/>
              </w:rPr>
              <w:t>16 marzo 2026</w:t>
            </w:r>
          </w:p>
          <w:p w14:paraId="012C66C4" w14:textId="77777777" w:rsidR="00440571" w:rsidRPr="00102A21" w:rsidRDefault="00440571" w:rsidP="009003C6">
            <w:pPr>
              <w:pStyle w:val="Titolo4"/>
              <w:keepNext w:val="0"/>
              <w:keepLines w:val="0"/>
              <w:spacing w:before="0" w:after="0"/>
              <w:jc w:val="center"/>
              <w:rPr>
                <w:rFonts w:ascii="Aptos Display" w:hAnsi="Aptos Display" w:cs="Aptos Display"/>
                <w:color w:val="auto"/>
              </w:rPr>
            </w:pPr>
            <w:r w:rsidRPr="00102A21">
              <w:rPr>
                <w:rFonts w:ascii="Aptos Display" w:hAnsi="Aptos Display" w:cs="Aptos Display"/>
                <w:color w:val="auto"/>
              </w:rPr>
              <w:t>Scadenza</w:t>
            </w:r>
            <w:r w:rsidRPr="00102A21">
              <w:rPr>
                <w:rFonts w:ascii="Aptos Display" w:hAnsi="Aptos Display" w:cs="Aptos Display"/>
                <w:b/>
                <w:bCs/>
                <w:color w:val="auto"/>
              </w:rPr>
              <w:t xml:space="preserve"> </w:t>
            </w:r>
            <w:r w:rsidRPr="00102A21">
              <w:rPr>
                <w:rFonts w:ascii="Aptos Display" w:hAnsi="Aptos Display" w:cs="Aptos Display"/>
                <w:color w:val="auto"/>
              </w:rPr>
              <w:t>Invio telematico all’Agenzia delle Entrate e consegna al percipiente per:</w:t>
            </w:r>
          </w:p>
        </w:tc>
        <w:tc>
          <w:tcPr>
            <w:tcW w:w="7059" w:type="dxa"/>
          </w:tcPr>
          <w:p w14:paraId="1F6F1F42" w14:textId="77777777" w:rsidR="00440571" w:rsidRPr="00102A21" w:rsidRDefault="00440571" w:rsidP="00440571">
            <w:pPr>
              <w:numPr>
                <w:ilvl w:val="0"/>
                <w:numId w:val="1"/>
              </w:numPr>
              <w:spacing w:before="480" w:after="0" w:line="240" w:lineRule="auto"/>
              <w:jc w:val="both"/>
              <w:rPr>
                <w:rFonts w:ascii="Aptos Display" w:eastAsia="Arial" w:hAnsi="Aptos Display" w:cs="Aptos Display"/>
                <w:color w:val="3A7C22"/>
              </w:rPr>
            </w:pPr>
            <w:r w:rsidRPr="00102A21">
              <w:rPr>
                <w:rFonts w:ascii="Aptos Display" w:eastAsia="Arial" w:hAnsi="Aptos Display" w:cs="Aptos Display"/>
                <w:b/>
                <w:bCs/>
                <w:color w:val="3A7C22"/>
              </w:rPr>
              <w:t>redditi di lavoro dipendente e assimilati</w:t>
            </w:r>
            <w:r w:rsidRPr="00102A21">
              <w:rPr>
                <w:rFonts w:ascii="Aptos Display" w:eastAsia="Arial" w:hAnsi="Aptos Display" w:cs="Aptos Display"/>
                <w:color w:val="3A7C22"/>
              </w:rPr>
              <w:t>;</w:t>
            </w:r>
          </w:p>
          <w:p w14:paraId="050EE758" w14:textId="77777777" w:rsidR="00440571" w:rsidRPr="00102A21" w:rsidRDefault="00440571" w:rsidP="0044057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ptos Display" w:eastAsia="Arial" w:hAnsi="Aptos Display" w:cs="Aptos Display"/>
                <w:color w:val="3A7C22"/>
              </w:rPr>
            </w:pPr>
            <w:r w:rsidRPr="00102A21">
              <w:rPr>
                <w:rFonts w:ascii="Aptos Display" w:eastAsia="Arial" w:hAnsi="Aptos Display" w:cs="Aptos Display"/>
                <w:b/>
                <w:bCs/>
                <w:color w:val="3A7C22"/>
              </w:rPr>
              <w:t>lavoro autonomo occasionale</w:t>
            </w:r>
            <w:r w:rsidRPr="00102A21">
              <w:rPr>
                <w:rFonts w:ascii="Aptos Display" w:eastAsia="Arial" w:hAnsi="Aptos Display" w:cs="Aptos Display"/>
                <w:color w:val="3A7C22"/>
              </w:rPr>
              <w:t>;</w:t>
            </w:r>
          </w:p>
          <w:p w14:paraId="27CDDB12" w14:textId="77777777" w:rsidR="00440571" w:rsidRPr="00102A21" w:rsidRDefault="00440571" w:rsidP="0044057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ptos Display" w:eastAsia="Arial" w:hAnsi="Aptos Display" w:cs="Aptos Display"/>
                <w:color w:val="3A7C22"/>
              </w:rPr>
            </w:pPr>
            <w:r w:rsidRPr="00102A21">
              <w:rPr>
                <w:rFonts w:ascii="Aptos Display" w:eastAsia="Arial" w:hAnsi="Aptos Display" w:cs="Aptos Display"/>
                <w:b/>
                <w:bCs/>
                <w:color w:val="3A7C22"/>
              </w:rPr>
              <w:t>redditi diversi</w:t>
            </w:r>
            <w:r w:rsidRPr="00102A21">
              <w:rPr>
                <w:rFonts w:ascii="Aptos Display" w:eastAsia="Arial" w:hAnsi="Aptos Display" w:cs="Aptos Display"/>
                <w:color w:val="3A7C22"/>
              </w:rPr>
              <w:t>;</w:t>
            </w:r>
          </w:p>
          <w:p w14:paraId="1F5A174C" w14:textId="77777777" w:rsidR="00440571" w:rsidRPr="00102A21" w:rsidRDefault="00440571" w:rsidP="00440571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ptos Display" w:eastAsia="Arial" w:hAnsi="Aptos Display" w:cs="Aptos Display"/>
                <w:color w:val="3A7C22"/>
              </w:rPr>
            </w:pPr>
            <w:r w:rsidRPr="00102A21">
              <w:rPr>
                <w:rFonts w:ascii="Aptos Display" w:eastAsia="Arial" w:hAnsi="Aptos Display" w:cs="Aptos Display"/>
                <w:b/>
                <w:bCs/>
                <w:color w:val="3A7C22"/>
              </w:rPr>
              <w:t>redditi da locazioni brevi</w:t>
            </w:r>
            <w:r w:rsidRPr="00102A21">
              <w:rPr>
                <w:rFonts w:ascii="Aptos Display" w:eastAsia="Arial" w:hAnsi="Aptos Display" w:cs="Aptos Display"/>
                <w:color w:val="3A7C22"/>
              </w:rPr>
              <w:t>.</w:t>
            </w:r>
          </w:p>
        </w:tc>
      </w:tr>
      <w:tr w:rsidR="00440571" w:rsidRPr="00102A21" w14:paraId="4D0A532C" w14:textId="77777777" w:rsidTr="009003C6">
        <w:tc>
          <w:tcPr>
            <w:tcW w:w="2830" w:type="dxa"/>
          </w:tcPr>
          <w:p w14:paraId="522C1DFE" w14:textId="77777777" w:rsidR="00440571" w:rsidRPr="00102A21" w:rsidRDefault="00440571" w:rsidP="009003C6">
            <w:pPr>
              <w:pBdr>
                <w:bottom w:val="single" w:sz="4" w:space="1" w:color="auto"/>
              </w:pBdr>
              <w:spacing w:before="120" w:after="120"/>
              <w:jc w:val="both"/>
              <w:rPr>
                <w:rFonts w:ascii="Aptos Display" w:eastAsia="Arial" w:hAnsi="Aptos Display" w:cs="Aptos Display"/>
                <w:b/>
                <w:bCs/>
                <w:color w:val="13290C"/>
                <w:sz w:val="24"/>
                <w:szCs w:val="24"/>
              </w:rPr>
            </w:pPr>
            <w:r w:rsidRPr="00102A21">
              <w:rPr>
                <w:rFonts w:ascii="Aptos Display" w:eastAsia="Arial" w:hAnsi="Aptos Display" w:cs="Aptos Display"/>
                <w:b/>
                <w:bCs/>
                <w:color w:val="13290C"/>
                <w:sz w:val="24"/>
                <w:szCs w:val="24"/>
              </w:rPr>
              <w:t>30 aprile 2026</w:t>
            </w:r>
          </w:p>
          <w:p w14:paraId="0187797C" w14:textId="77777777" w:rsidR="00440571" w:rsidRPr="00102A21" w:rsidRDefault="00440571" w:rsidP="009003C6">
            <w:pPr>
              <w:pStyle w:val="Titolo4"/>
              <w:keepNext w:val="0"/>
              <w:keepLines w:val="0"/>
              <w:spacing w:before="0" w:after="240"/>
              <w:jc w:val="center"/>
              <w:rPr>
                <w:rFonts w:ascii="Aptos Display" w:hAnsi="Aptos Display" w:cs="Aptos Display"/>
                <w:color w:val="auto"/>
              </w:rPr>
            </w:pPr>
            <w:r w:rsidRPr="00102A21">
              <w:rPr>
                <w:rFonts w:ascii="Aptos Display" w:hAnsi="Aptos Display" w:cs="Aptos Display"/>
                <w:color w:val="auto"/>
              </w:rPr>
              <w:t>Scadenza</w:t>
            </w:r>
            <w:r w:rsidRPr="00102A21">
              <w:rPr>
                <w:rFonts w:ascii="Aptos Display" w:hAnsi="Aptos Display" w:cs="Aptos Display"/>
                <w:b/>
                <w:bCs/>
                <w:color w:val="auto"/>
              </w:rPr>
              <w:t xml:space="preserve"> </w:t>
            </w:r>
            <w:r w:rsidRPr="00102A21">
              <w:rPr>
                <w:rFonts w:ascii="Aptos Display" w:hAnsi="Aptos Display" w:cs="Aptos Display"/>
                <w:color w:val="auto"/>
              </w:rPr>
              <w:t>Invio telematico all’Agenzia delle Entrate e consegna al percipiente per:</w:t>
            </w:r>
          </w:p>
        </w:tc>
        <w:tc>
          <w:tcPr>
            <w:tcW w:w="7059" w:type="dxa"/>
          </w:tcPr>
          <w:p w14:paraId="454C4637" w14:textId="77777777" w:rsidR="00440571" w:rsidRPr="00102A21" w:rsidRDefault="00440571" w:rsidP="00440571">
            <w:pPr>
              <w:pStyle w:val="Titolo4"/>
              <w:keepNext w:val="0"/>
              <w:keepLines w:val="0"/>
              <w:numPr>
                <w:ilvl w:val="0"/>
                <w:numId w:val="2"/>
              </w:numPr>
              <w:spacing w:before="480" w:after="0" w:line="240" w:lineRule="auto"/>
              <w:jc w:val="both"/>
              <w:rPr>
                <w:rFonts w:ascii="Aptos Display" w:hAnsi="Aptos Display" w:cs="Aptos Display"/>
                <w:color w:val="3A7C22"/>
              </w:rPr>
            </w:pPr>
            <w:r w:rsidRPr="00102A21">
              <w:rPr>
                <w:rFonts w:ascii="Aptos Display" w:hAnsi="Aptos Display" w:cs="Aptos Display"/>
                <w:b/>
                <w:bCs/>
                <w:color w:val="3A7C22"/>
              </w:rPr>
              <w:t>redditi di lavoro autonomo professionale</w:t>
            </w:r>
            <w:r w:rsidRPr="00102A21">
              <w:rPr>
                <w:rFonts w:ascii="Aptos Display" w:hAnsi="Aptos Display" w:cs="Aptos Display"/>
                <w:color w:val="3A7C22"/>
              </w:rPr>
              <w:t>;</w:t>
            </w:r>
          </w:p>
          <w:p w14:paraId="1A2E805B" w14:textId="77777777" w:rsidR="00440571" w:rsidRPr="00102A21" w:rsidRDefault="00440571" w:rsidP="00440571">
            <w:pPr>
              <w:pStyle w:val="Titolo4"/>
              <w:keepNext w:val="0"/>
              <w:keepLines w:val="0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Aptos Display" w:hAnsi="Aptos Display" w:cs="Aptos Display"/>
                <w:color w:val="3A7C22"/>
              </w:rPr>
            </w:pPr>
            <w:r w:rsidRPr="00102A21">
              <w:rPr>
                <w:rFonts w:ascii="Aptos Display" w:hAnsi="Aptos Display" w:cs="Aptos Display"/>
                <w:b/>
                <w:bCs/>
                <w:color w:val="3A7C22"/>
              </w:rPr>
              <w:t>provvigioni</w:t>
            </w:r>
            <w:r w:rsidRPr="00102A21">
              <w:rPr>
                <w:rFonts w:ascii="Aptos Display" w:hAnsi="Aptos Display" w:cs="Aptos Display"/>
                <w:color w:val="3A7C22"/>
              </w:rPr>
              <w:t xml:space="preserve">; </w:t>
            </w:r>
          </w:p>
          <w:p w14:paraId="04FECFDF" w14:textId="77777777" w:rsidR="00440571" w:rsidRPr="00102A21" w:rsidRDefault="00440571" w:rsidP="009003C6">
            <w:pPr>
              <w:pStyle w:val="Titolo4"/>
              <w:keepNext w:val="0"/>
              <w:keepLines w:val="0"/>
              <w:spacing w:before="0" w:after="0"/>
              <w:ind w:left="530"/>
              <w:rPr>
                <w:rFonts w:ascii="Aptos Display" w:hAnsi="Aptos Display" w:cs="Aptos Display"/>
                <w:color w:val="auto"/>
                <w:sz w:val="16"/>
                <w:szCs w:val="16"/>
              </w:rPr>
            </w:pPr>
            <w:r w:rsidRPr="00102A21">
              <w:rPr>
                <w:rFonts w:ascii="Aptos Display" w:hAnsi="Aptos Display" w:cs="Aptos Display"/>
                <w:color w:val="auto"/>
                <w:sz w:val="16"/>
                <w:szCs w:val="16"/>
              </w:rPr>
              <w:t xml:space="preserve">      (agenzia, mediazione, commissione, rappresentanza, procacciamento).</w:t>
            </w:r>
          </w:p>
          <w:p w14:paraId="3E7942F4" w14:textId="77777777" w:rsidR="00440571" w:rsidRPr="00102A21" w:rsidRDefault="00440571" w:rsidP="009003C6">
            <w:pPr>
              <w:spacing w:after="0" w:line="240" w:lineRule="auto"/>
              <w:jc w:val="both"/>
              <w:rPr>
                <w:rFonts w:ascii="Aptos Display" w:eastAsia="Arial" w:hAnsi="Aptos Display" w:cs="Aptos Display"/>
              </w:rPr>
            </w:pPr>
          </w:p>
        </w:tc>
      </w:tr>
      <w:tr w:rsidR="00440571" w:rsidRPr="00102A21" w14:paraId="2D0DEAEB" w14:textId="77777777" w:rsidTr="009003C6">
        <w:tc>
          <w:tcPr>
            <w:tcW w:w="2830" w:type="dxa"/>
          </w:tcPr>
          <w:p w14:paraId="2025923B" w14:textId="77777777" w:rsidR="00440571" w:rsidRPr="00102A21" w:rsidRDefault="00440571" w:rsidP="009003C6">
            <w:pPr>
              <w:pBdr>
                <w:bottom w:val="single" w:sz="4" w:space="1" w:color="auto"/>
              </w:pBdr>
              <w:spacing w:before="120" w:after="120"/>
              <w:jc w:val="both"/>
              <w:rPr>
                <w:rFonts w:ascii="Aptos Display" w:eastAsia="Arial" w:hAnsi="Aptos Display" w:cs="Aptos Display"/>
                <w:b/>
                <w:bCs/>
                <w:color w:val="13290C"/>
                <w:sz w:val="24"/>
                <w:szCs w:val="24"/>
              </w:rPr>
            </w:pPr>
            <w:r w:rsidRPr="00102A21">
              <w:rPr>
                <w:rFonts w:ascii="Aptos Display" w:eastAsia="Arial" w:hAnsi="Aptos Display" w:cs="Aptos Display"/>
                <w:b/>
                <w:bCs/>
                <w:color w:val="13290C"/>
                <w:sz w:val="24"/>
                <w:szCs w:val="24"/>
              </w:rPr>
              <w:t>2 novembre 2026</w:t>
            </w:r>
          </w:p>
          <w:p w14:paraId="5C67B3B4" w14:textId="77777777" w:rsidR="00440571" w:rsidRPr="00102A21" w:rsidRDefault="00440571" w:rsidP="009003C6">
            <w:pPr>
              <w:pStyle w:val="Titolo4"/>
              <w:keepNext w:val="0"/>
              <w:keepLines w:val="0"/>
              <w:spacing w:before="0" w:after="240"/>
              <w:jc w:val="center"/>
              <w:rPr>
                <w:rFonts w:ascii="Aptos Display" w:hAnsi="Aptos Display" w:cs="Aptos Display"/>
                <w:color w:val="auto"/>
              </w:rPr>
            </w:pPr>
            <w:r w:rsidRPr="00102A21">
              <w:rPr>
                <w:rFonts w:ascii="Aptos Display" w:hAnsi="Aptos Display" w:cs="Aptos Display"/>
                <w:color w:val="auto"/>
              </w:rPr>
              <w:t>Scadenza</w:t>
            </w:r>
            <w:r w:rsidRPr="00102A21">
              <w:rPr>
                <w:rFonts w:ascii="Aptos Display" w:hAnsi="Aptos Display" w:cs="Aptos Display"/>
                <w:b/>
                <w:bCs/>
                <w:color w:val="auto"/>
              </w:rPr>
              <w:t xml:space="preserve"> </w:t>
            </w:r>
            <w:r w:rsidRPr="00102A21">
              <w:rPr>
                <w:rFonts w:ascii="Aptos Display" w:hAnsi="Aptos Display" w:cs="Aptos Display"/>
                <w:color w:val="auto"/>
              </w:rPr>
              <w:t>Invio telematico all’Agenzia delle Entrate per:</w:t>
            </w:r>
          </w:p>
        </w:tc>
        <w:tc>
          <w:tcPr>
            <w:tcW w:w="7059" w:type="dxa"/>
          </w:tcPr>
          <w:p w14:paraId="1165EB2B" w14:textId="77777777" w:rsidR="00440571" w:rsidRPr="00102A21" w:rsidRDefault="00440571" w:rsidP="00440571">
            <w:pPr>
              <w:pStyle w:val="Titolo4"/>
              <w:keepNext w:val="0"/>
              <w:keepLines w:val="0"/>
              <w:numPr>
                <w:ilvl w:val="0"/>
                <w:numId w:val="3"/>
              </w:numPr>
              <w:spacing w:before="480" w:after="0" w:line="240" w:lineRule="auto"/>
              <w:ind w:left="530"/>
              <w:jc w:val="both"/>
              <w:rPr>
                <w:rFonts w:ascii="Aptos Display" w:hAnsi="Aptos Display" w:cs="Aptos Display"/>
                <w:b/>
                <w:bCs/>
                <w:color w:val="3A7C22"/>
              </w:rPr>
            </w:pPr>
            <w:r w:rsidRPr="00102A21">
              <w:rPr>
                <w:rFonts w:ascii="Aptos Display" w:hAnsi="Aptos Display" w:cs="Aptos Display"/>
                <w:b/>
                <w:bCs/>
                <w:color w:val="3A7C22"/>
              </w:rPr>
              <w:t xml:space="preserve">redditi esenti; </w:t>
            </w:r>
          </w:p>
          <w:p w14:paraId="0DFB7DE2" w14:textId="77777777" w:rsidR="00440571" w:rsidRPr="00102A21" w:rsidRDefault="00440571" w:rsidP="009003C6">
            <w:pPr>
              <w:pStyle w:val="NormaleWeb"/>
              <w:spacing w:before="0" w:beforeAutospacing="0" w:after="0" w:afterAutospacing="0"/>
              <w:ind w:left="51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02A21">
              <w:rPr>
                <w:rFonts w:ascii="Calibri" w:hAnsi="Calibri" w:cs="Calibri"/>
                <w:sz w:val="16"/>
                <w:szCs w:val="16"/>
              </w:rPr>
              <w:t>Borse di studio esenti - Indennità per invalidità - Risarcimenti danni non imponibili - Alcune indennità INAIL - Compensi sportivi dilettantistici entro soglia di esenzione - Rimborsi spese documentati non imponibili</w:t>
            </w:r>
          </w:p>
          <w:p w14:paraId="0418EF7E" w14:textId="77777777" w:rsidR="00440571" w:rsidRPr="00102A21" w:rsidRDefault="00440571" w:rsidP="00440571">
            <w:pPr>
              <w:pStyle w:val="Titolo4"/>
              <w:keepNext w:val="0"/>
              <w:keepLines w:val="0"/>
              <w:numPr>
                <w:ilvl w:val="0"/>
                <w:numId w:val="3"/>
              </w:numPr>
              <w:spacing w:before="120" w:after="0" w:line="240" w:lineRule="auto"/>
              <w:ind w:left="530"/>
              <w:jc w:val="both"/>
              <w:rPr>
                <w:rFonts w:ascii="Aptos Display" w:hAnsi="Aptos Display" w:cs="Aptos Display"/>
                <w:b/>
                <w:bCs/>
                <w:color w:val="3A7C22"/>
              </w:rPr>
            </w:pPr>
            <w:r w:rsidRPr="00102A21">
              <w:rPr>
                <w:rFonts w:ascii="Aptos Display" w:hAnsi="Aptos Display" w:cs="Aptos Display"/>
                <w:b/>
                <w:bCs/>
                <w:color w:val="3A7C22"/>
              </w:rPr>
              <w:t>somme non dichiarabili tramite dichiarazione precompilata;</w:t>
            </w:r>
          </w:p>
          <w:p w14:paraId="4BA86494" w14:textId="77777777" w:rsidR="00440571" w:rsidRPr="00102A21" w:rsidRDefault="00440571" w:rsidP="009003C6">
            <w:pPr>
              <w:pStyle w:val="NormaleWeb"/>
              <w:spacing w:before="0" w:beforeAutospacing="0" w:after="0" w:afterAutospacing="0"/>
              <w:ind w:left="510"/>
              <w:jc w:val="both"/>
              <w:rPr>
                <w:rFonts w:ascii="Aptos Display" w:hAnsi="Aptos Display" w:cs="Aptos Display"/>
                <w:sz w:val="16"/>
                <w:szCs w:val="16"/>
              </w:rPr>
            </w:pPr>
            <w:r w:rsidRPr="00102A21">
              <w:rPr>
                <w:rFonts w:ascii="Aptos Display" w:hAnsi="Aptos Display" w:cs="Aptos Display"/>
                <w:sz w:val="16"/>
                <w:szCs w:val="16"/>
              </w:rPr>
              <w:t>Redditi soggetti a ritenuta a titolo d’imposta - Redditi soggetti a imposta sostitutiva - Compensi a soggetti non residenti - Alcuni redditi di capitale - Alcuni compensi occasionali senza obbligo dichiarativo.</w:t>
            </w:r>
          </w:p>
          <w:p w14:paraId="16275743" w14:textId="77777777" w:rsidR="00440571" w:rsidRPr="00102A21" w:rsidRDefault="00440571" w:rsidP="009003C6">
            <w:pPr>
              <w:pStyle w:val="Titolo4"/>
              <w:keepNext w:val="0"/>
              <w:keepLines w:val="0"/>
              <w:spacing w:before="0" w:after="0"/>
              <w:ind w:left="530"/>
              <w:rPr>
                <w:rFonts w:ascii="Aptos Display" w:hAnsi="Aptos Display" w:cs="Aptos Display"/>
                <w:color w:val="auto"/>
                <w:sz w:val="16"/>
                <w:szCs w:val="16"/>
              </w:rPr>
            </w:pPr>
          </w:p>
          <w:p w14:paraId="7E4B627A" w14:textId="77777777" w:rsidR="00440571" w:rsidRPr="00102A21" w:rsidRDefault="00440571" w:rsidP="009003C6">
            <w:pPr>
              <w:spacing w:after="0" w:line="240" w:lineRule="auto"/>
              <w:jc w:val="both"/>
              <w:rPr>
                <w:rFonts w:ascii="Aptos Display" w:eastAsia="Arial" w:hAnsi="Aptos Display" w:cs="Aptos Display"/>
              </w:rPr>
            </w:pPr>
          </w:p>
        </w:tc>
      </w:tr>
    </w:tbl>
    <w:p w14:paraId="09F9F1F2" w14:textId="77777777" w:rsidR="00440571" w:rsidRPr="00423068" w:rsidRDefault="00440571" w:rsidP="00440571">
      <w:pPr>
        <w:pBdr>
          <w:bottom w:val="single" w:sz="4" w:space="1" w:color="auto"/>
        </w:pBdr>
        <w:spacing w:before="240" w:after="0" w:line="240" w:lineRule="auto"/>
        <w:jc w:val="both"/>
        <w:outlineLvl w:val="1"/>
        <w:rPr>
          <w:rFonts w:eastAsia="Times New Roman" w:cs="Calibri"/>
          <w:b/>
          <w:bCs/>
          <w:color w:val="275317"/>
          <w:sz w:val="24"/>
          <w:szCs w:val="24"/>
        </w:rPr>
      </w:pPr>
      <w:r w:rsidRPr="00423068">
        <w:rPr>
          <w:rFonts w:eastAsia="Times New Roman" w:cs="Calibri"/>
          <w:b/>
          <w:bCs/>
          <w:color w:val="275317"/>
          <w:sz w:val="24"/>
          <w:szCs w:val="24"/>
        </w:rPr>
        <w:t>CU 2026: esonero per i forfettari, ma con eccezioni</w:t>
      </w:r>
    </w:p>
    <w:p w14:paraId="54C389B5" w14:textId="77777777" w:rsidR="00440571" w:rsidRPr="00423068" w:rsidRDefault="00440571" w:rsidP="00440571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423068">
        <w:rPr>
          <w:rFonts w:eastAsia="Times New Roman" w:cs="Calibri"/>
          <w:sz w:val="24"/>
          <w:szCs w:val="24"/>
        </w:rPr>
        <w:t xml:space="preserve">Anche per il 2026 </w:t>
      </w:r>
      <w:r w:rsidRPr="00423068">
        <w:rPr>
          <w:rFonts w:eastAsia="Times New Roman" w:cs="Calibri"/>
          <w:sz w:val="24"/>
          <w:szCs w:val="24"/>
          <w:u w:val="single"/>
        </w:rPr>
        <w:t>è confermato l’esonero dall’invio della Certificazione Unica per i compensi</w:t>
      </w:r>
      <w:r w:rsidRPr="00423068">
        <w:rPr>
          <w:rFonts w:eastAsia="Times New Roman" w:cs="Calibri"/>
          <w:sz w:val="24"/>
          <w:szCs w:val="24"/>
        </w:rPr>
        <w:t xml:space="preserve"> corrisposti a contribuenti in regime forfettario.</w:t>
      </w:r>
    </w:p>
    <w:p w14:paraId="6C86D8D1" w14:textId="77777777" w:rsidR="00440571" w:rsidRPr="00423068" w:rsidRDefault="00440571" w:rsidP="00440571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423068">
        <w:rPr>
          <w:rFonts w:eastAsia="Times New Roman" w:cs="Calibri"/>
          <w:sz w:val="24"/>
          <w:szCs w:val="24"/>
        </w:rPr>
        <w:t>La semplificazione è legata all’obbligo generalizzato di fatturazione elettronica: poiché i dati dei compensi percepiti transitano tramite il Sistema di Interscambio (</w:t>
      </w:r>
      <w:proofErr w:type="spellStart"/>
      <w:r w:rsidRPr="00423068">
        <w:rPr>
          <w:rFonts w:eastAsia="Times New Roman" w:cs="Calibri"/>
          <w:sz w:val="24"/>
          <w:szCs w:val="24"/>
        </w:rPr>
        <w:t>SdI</w:t>
      </w:r>
      <w:proofErr w:type="spellEnd"/>
      <w:r w:rsidRPr="00423068">
        <w:rPr>
          <w:rFonts w:eastAsia="Times New Roman" w:cs="Calibri"/>
          <w:sz w:val="24"/>
          <w:szCs w:val="24"/>
        </w:rPr>
        <w:t>), l’Agenzia delle Entrate è già in possesso delle informazioni necessarie e non è quindi richiesta la CU.</w:t>
      </w:r>
    </w:p>
    <w:p w14:paraId="0C38B1A1" w14:textId="77777777" w:rsidR="00440571" w:rsidRPr="00423068" w:rsidRDefault="00440571" w:rsidP="00440571">
      <w:pPr>
        <w:spacing w:before="120" w:after="0" w:line="240" w:lineRule="auto"/>
        <w:jc w:val="both"/>
        <w:rPr>
          <w:rFonts w:eastAsia="Times New Roman" w:cs="Calibri"/>
          <w:sz w:val="24"/>
          <w:szCs w:val="24"/>
        </w:rPr>
      </w:pPr>
      <w:r w:rsidRPr="00423068">
        <w:rPr>
          <w:rFonts w:eastAsia="Times New Roman" w:cs="Calibri"/>
          <w:sz w:val="24"/>
          <w:szCs w:val="24"/>
        </w:rPr>
        <w:t>Tuttavia, l’esonero non vale per tutte le partite IVA in regime agevolato. Restano obbligati all’invio della CU i sostituti d’imposta che corrispondono compensi a categorie escluse dall’obbligo di fatturazione elettronica.</w:t>
      </w:r>
    </w:p>
    <w:p w14:paraId="76032FF2" w14:textId="77777777" w:rsidR="00440571" w:rsidRPr="00423068" w:rsidRDefault="00440571" w:rsidP="00440571">
      <w:pPr>
        <w:spacing w:after="100" w:afterAutospacing="1" w:line="240" w:lineRule="auto"/>
        <w:jc w:val="both"/>
        <w:rPr>
          <w:rFonts w:eastAsia="Times New Roman" w:cs="Calibri"/>
          <w:sz w:val="24"/>
          <w:szCs w:val="24"/>
        </w:rPr>
      </w:pPr>
      <w:r w:rsidRPr="00423068">
        <w:rPr>
          <w:rFonts w:eastAsia="Times New Roman" w:cs="Calibri"/>
          <w:sz w:val="24"/>
          <w:szCs w:val="24"/>
        </w:rPr>
        <w:t xml:space="preserve">È il caso, ad esempio, dei </w:t>
      </w:r>
      <w:r w:rsidRPr="00423068">
        <w:rPr>
          <w:rFonts w:eastAsia="Times New Roman" w:cs="Calibri"/>
          <w:sz w:val="24"/>
          <w:szCs w:val="24"/>
          <w:u w:val="single"/>
        </w:rPr>
        <w:t>medici convenzionati con il Servizio Sanitario Nazionale</w:t>
      </w:r>
      <w:r w:rsidRPr="00423068">
        <w:rPr>
          <w:rFonts w:eastAsia="Times New Roman" w:cs="Calibri"/>
          <w:sz w:val="24"/>
          <w:szCs w:val="24"/>
        </w:rPr>
        <w:t xml:space="preserve">, per i quali è </w:t>
      </w:r>
      <w:r w:rsidRPr="00423068">
        <w:rPr>
          <w:rFonts w:eastAsia="Times New Roman" w:cs="Calibri"/>
          <w:sz w:val="24"/>
          <w:szCs w:val="24"/>
          <w:u w:val="single"/>
        </w:rPr>
        <w:t xml:space="preserve">confermato il divieto di emissione della fattura elettronica tramite </w:t>
      </w:r>
      <w:proofErr w:type="spellStart"/>
      <w:r w:rsidRPr="00423068">
        <w:rPr>
          <w:rFonts w:eastAsia="Times New Roman" w:cs="Calibri"/>
          <w:sz w:val="24"/>
          <w:szCs w:val="24"/>
          <w:u w:val="single"/>
        </w:rPr>
        <w:t>SdI</w:t>
      </w:r>
      <w:proofErr w:type="spellEnd"/>
      <w:r w:rsidRPr="00423068">
        <w:rPr>
          <w:rFonts w:eastAsia="Times New Roman" w:cs="Calibri"/>
          <w:sz w:val="24"/>
          <w:szCs w:val="24"/>
          <w:u w:val="single"/>
        </w:rPr>
        <w:t>: in assenza di trasmissione telematica dei dati, l’obbligo di Certificazione Unica rimane</w:t>
      </w:r>
      <w:r w:rsidRPr="00423068">
        <w:rPr>
          <w:rFonts w:eastAsia="Times New Roman" w:cs="Calibri"/>
          <w:sz w:val="24"/>
          <w:szCs w:val="24"/>
        </w:rPr>
        <w:t>.</w:t>
      </w:r>
    </w:p>
    <w:p w14:paraId="675F7C9F" w14:textId="35F3A92E" w:rsidR="00821C7A" w:rsidRDefault="00821C7A">
      <w:pPr>
        <w:rPr>
          <w:noProof/>
        </w:rPr>
      </w:pPr>
    </w:p>
    <w:p w14:paraId="5F03F48D" w14:textId="77777777" w:rsidR="00440571" w:rsidRDefault="00440571">
      <w:pPr>
        <w:rPr>
          <w:noProof/>
        </w:rPr>
      </w:pPr>
    </w:p>
    <w:p w14:paraId="38992A90" w14:textId="77777777" w:rsidR="00440571" w:rsidRPr="00405301" w:rsidRDefault="00440571" w:rsidP="00440571">
      <w:pPr>
        <w:pStyle w:val="Corpotesto"/>
        <w:ind w:left="-28"/>
        <w:jc w:val="both"/>
        <w:rPr>
          <w:rFonts w:ascii="Aptos" w:hAnsi="Aptos" w:cs="Aptos"/>
          <w:sz w:val="24"/>
          <w:szCs w:val="24"/>
        </w:rPr>
      </w:pPr>
    </w:p>
    <w:p w14:paraId="67029819" w14:textId="62DF5366" w:rsidR="00440571" w:rsidRDefault="00440571" w:rsidP="00440571">
      <w:pPr>
        <w:shd w:val="clear" w:color="auto" w:fill="FFFFFF"/>
        <w:spacing w:after="0" w:line="240" w:lineRule="auto"/>
        <w:outlineLvl w:val="0"/>
        <w:rPr>
          <w:rFonts w:cs="Calibri"/>
        </w:rPr>
      </w:pPr>
      <w:r w:rsidRPr="00394B2E">
        <w:rPr>
          <w:b/>
          <w:bCs/>
          <w:sz w:val="32"/>
          <w:szCs w:val="32"/>
        </w:rPr>
        <w:t xml:space="preserve"> </w:t>
      </w:r>
      <w:r w:rsidR="00423068">
        <w:rPr>
          <w:b/>
          <w:bCs/>
          <w:color w:val="275317"/>
          <w:sz w:val="32"/>
          <w:szCs w:val="32"/>
          <w:bdr w:val="single" w:sz="4" w:space="0" w:color="auto"/>
        </w:rPr>
        <w:t xml:space="preserve"> Versamento saldo iva </w:t>
      </w:r>
      <w:r w:rsidRPr="00423068">
        <w:rPr>
          <w:b/>
          <w:bCs/>
          <w:color w:val="275317"/>
          <w:sz w:val="32"/>
          <w:szCs w:val="32"/>
          <w:bdr w:val="single" w:sz="4" w:space="0" w:color="auto"/>
        </w:rPr>
        <w:t>202</w:t>
      </w:r>
      <w:r w:rsidR="00423068">
        <w:rPr>
          <w:b/>
          <w:bCs/>
          <w:color w:val="275317"/>
          <w:sz w:val="32"/>
          <w:szCs w:val="32"/>
          <w:bdr w:val="single" w:sz="4" w:space="0" w:color="auto"/>
        </w:rPr>
        <w:t>5</w:t>
      </w:r>
      <w:r w:rsidRPr="00423068">
        <w:rPr>
          <w:b/>
          <w:bCs/>
          <w:color w:val="275317"/>
          <w:sz w:val="32"/>
          <w:szCs w:val="32"/>
          <w:bdr w:val="single" w:sz="4" w:space="0" w:color="auto"/>
        </w:rPr>
        <w:t xml:space="preserve"> </w:t>
      </w:r>
      <w:r w:rsidRPr="00423068">
        <w:rPr>
          <w:rFonts w:ascii="Aptos" w:eastAsia="Times New Roman" w:hAnsi="Aptos" w:cs="Open Sans"/>
          <w:b/>
          <w:bCs/>
          <w:color w:val="275317"/>
          <w:kern w:val="36"/>
          <w:sz w:val="32"/>
          <w:szCs w:val="32"/>
          <w:u w:val="single"/>
          <w:bdr w:val="single" w:sz="4" w:space="0" w:color="auto"/>
          <w:lang w:eastAsia="it-IT"/>
        </w:rPr>
        <w:br/>
      </w:r>
    </w:p>
    <w:p w14:paraId="2D99A93F" w14:textId="52765195" w:rsidR="00440571" w:rsidRPr="00394B2E" w:rsidRDefault="00440571" w:rsidP="00440571">
      <w:pPr>
        <w:spacing w:after="0" w:line="240" w:lineRule="auto"/>
        <w:jc w:val="both"/>
        <w:rPr>
          <w:rFonts w:eastAsia="Georgia" w:cs="Calibri"/>
          <w:sz w:val="24"/>
          <w:szCs w:val="24"/>
        </w:rPr>
      </w:pPr>
      <w:bookmarkStart w:id="0" w:name="_4lv0y4nhj4zu" w:colFirst="0" w:colLast="0"/>
      <w:bookmarkEnd w:id="0"/>
      <w:r w:rsidRPr="00394B2E">
        <w:rPr>
          <w:rFonts w:eastAsia="Georgia" w:cs="Calibri"/>
          <w:sz w:val="24"/>
          <w:szCs w:val="24"/>
        </w:rPr>
        <w:t>Il saldo IVA risultante dalla dichiarazione</w:t>
      </w:r>
      <w:r w:rsidR="00423068">
        <w:rPr>
          <w:rFonts w:eastAsia="Georgia" w:cs="Calibri"/>
          <w:sz w:val="24"/>
          <w:szCs w:val="24"/>
        </w:rPr>
        <w:t xml:space="preserve"> IVA2026</w:t>
      </w:r>
      <w:r w:rsidRPr="00394B2E">
        <w:rPr>
          <w:rFonts w:eastAsia="Georgia" w:cs="Calibri"/>
          <w:sz w:val="24"/>
          <w:szCs w:val="24"/>
        </w:rPr>
        <w:t xml:space="preserve"> deve essere versato entro il 16 marzo 2026, se superiore a 10,33 euro.</w:t>
      </w:r>
    </w:p>
    <w:p w14:paraId="7AFE9C51" w14:textId="77777777" w:rsidR="00440571" w:rsidRPr="00394B2E" w:rsidRDefault="00440571" w:rsidP="00440571">
      <w:pPr>
        <w:pStyle w:val="Titolo3"/>
        <w:keepNext w:val="0"/>
        <w:keepLines w:val="0"/>
        <w:spacing w:before="0" w:after="0" w:line="240" w:lineRule="auto"/>
        <w:jc w:val="both"/>
        <w:rPr>
          <w:rFonts w:eastAsia="Georgia" w:cs="Calibri"/>
          <w:color w:val="000000"/>
          <w:sz w:val="24"/>
          <w:szCs w:val="24"/>
        </w:rPr>
      </w:pPr>
      <w:bookmarkStart w:id="1" w:name="_snu938tlpw26" w:colFirst="0" w:colLast="0"/>
      <w:bookmarkEnd w:id="1"/>
      <w:r w:rsidRPr="00394B2E">
        <w:rPr>
          <w:rFonts w:eastAsia="Georgia" w:cs="Calibri"/>
          <w:color w:val="000000"/>
          <w:sz w:val="24"/>
          <w:szCs w:val="24"/>
        </w:rPr>
        <w:t>È possibile:</w:t>
      </w:r>
    </w:p>
    <w:p w14:paraId="14BFC5BE" w14:textId="77777777" w:rsidR="00440571" w:rsidRPr="00394B2E" w:rsidRDefault="00440571" w:rsidP="00440571">
      <w:pPr>
        <w:numPr>
          <w:ilvl w:val="0"/>
          <w:numId w:val="6"/>
        </w:numPr>
        <w:spacing w:after="0" w:line="240" w:lineRule="auto"/>
        <w:jc w:val="both"/>
        <w:rPr>
          <w:rFonts w:eastAsia="Georgia" w:cs="Calibri"/>
          <w:sz w:val="24"/>
          <w:szCs w:val="24"/>
        </w:rPr>
      </w:pPr>
      <w:r w:rsidRPr="00394B2E">
        <w:rPr>
          <w:rFonts w:eastAsia="Georgia" w:cs="Calibri"/>
          <w:sz w:val="24"/>
          <w:szCs w:val="24"/>
        </w:rPr>
        <w:t>rateizzare il pagamento</w:t>
      </w:r>
    </w:p>
    <w:p w14:paraId="1C11B64F" w14:textId="77777777" w:rsidR="00440571" w:rsidRPr="00394B2E" w:rsidRDefault="00440571" w:rsidP="00440571">
      <w:pPr>
        <w:numPr>
          <w:ilvl w:val="0"/>
          <w:numId w:val="6"/>
        </w:numPr>
        <w:spacing w:after="0" w:line="240" w:lineRule="auto"/>
        <w:jc w:val="both"/>
        <w:rPr>
          <w:rFonts w:eastAsia="Georgia" w:cs="Calibri"/>
          <w:sz w:val="24"/>
          <w:szCs w:val="24"/>
        </w:rPr>
      </w:pPr>
      <w:r w:rsidRPr="00394B2E">
        <w:rPr>
          <w:rFonts w:eastAsia="Georgia" w:cs="Calibri"/>
          <w:sz w:val="24"/>
          <w:szCs w:val="24"/>
        </w:rPr>
        <w:t>differire al 30 giugno 2026 con maggiorazione dello 0,40% per mese o frazione;</w:t>
      </w:r>
    </w:p>
    <w:p w14:paraId="6E8BB596" w14:textId="77777777" w:rsidR="00440571" w:rsidRPr="00394B2E" w:rsidRDefault="00440571" w:rsidP="00440571">
      <w:pPr>
        <w:numPr>
          <w:ilvl w:val="0"/>
          <w:numId w:val="6"/>
        </w:numPr>
        <w:spacing w:after="0" w:line="240" w:lineRule="auto"/>
        <w:jc w:val="both"/>
        <w:rPr>
          <w:rFonts w:eastAsia="Georgia" w:cs="Calibri"/>
          <w:sz w:val="24"/>
          <w:szCs w:val="24"/>
        </w:rPr>
      </w:pPr>
      <w:r w:rsidRPr="00394B2E">
        <w:rPr>
          <w:rFonts w:eastAsia="Georgia" w:cs="Calibri"/>
          <w:sz w:val="24"/>
          <w:szCs w:val="24"/>
        </w:rPr>
        <w:t>differire ulteriormente al 30 luglio 2026 con ulteriore 0,40%</w:t>
      </w:r>
    </w:p>
    <w:p w14:paraId="00C220E0" w14:textId="77777777" w:rsidR="00440571" w:rsidRPr="00394B2E" w:rsidRDefault="00440571" w:rsidP="00440571">
      <w:pPr>
        <w:spacing w:before="120" w:after="0" w:line="240" w:lineRule="auto"/>
        <w:jc w:val="both"/>
        <w:rPr>
          <w:rFonts w:eastAsia="Georgia" w:cs="Calibri"/>
          <w:sz w:val="24"/>
          <w:szCs w:val="24"/>
        </w:rPr>
      </w:pPr>
      <w:r w:rsidRPr="00394B2E">
        <w:rPr>
          <w:rFonts w:eastAsia="Georgia" w:cs="Calibri"/>
          <w:sz w:val="24"/>
          <w:szCs w:val="24"/>
        </w:rPr>
        <w:t>La maggiorazione si applica solo sulla parte non compensata.</w:t>
      </w:r>
    </w:p>
    <w:p w14:paraId="3273DBB6" w14:textId="77777777" w:rsidR="00440571" w:rsidRDefault="00440571" w:rsidP="00440571">
      <w:pPr>
        <w:spacing w:after="0" w:line="240" w:lineRule="auto"/>
        <w:jc w:val="both"/>
        <w:rPr>
          <w:rFonts w:eastAsia="Georgia" w:cs="Calibri"/>
          <w:b/>
          <w:bCs/>
          <w:color w:val="124F1A"/>
          <w:sz w:val="24"/>
          <w:szCs w:val="24"/>
        </w:rPr>
      </w:pPr>
    </w:p>
    <w:p w14:paraId="21C0A0A6" w14:textId="77777777" w:rsidR="00440571" w:rsidRPr="00394B2E" w:rsidRDefault="00440571" w:rsidP="00440571">
      <w:pPr>
        <w:spacing w:after="0" w:line="240" w:lineRule="auto"/>
        <w:jc w:val="both"/>
        <w:rPr>
          <w:rFonts w:eastAsia="Georgia" w:cs="Calibri"/>
          <w:b/>
          <w:bCs/>
          <w:color w:val="124F1A"/>
          <w:sz w:val="24"/>
          <w:szCs w:val="24"/>
        </w:rPr>
      </w:pPr>
      <w:r w:rsidRPr="00394B2E">
        <w:rPr>
          <w:rFonts w:eastAsia="Georgia" w:cs="Calibri"/>
          <w:b/>
          <w:bCs/>
          <w:color w:val="124F1A"/>
          <w:sz w:val="24"/>
          <w:szCs w:val="24"/>
        </w:rPr>
        <w:t>Rateizzazione</w:t>
      </w:r>
    </w:p>
    <w:p w14:paraId="75DFC2E0" w14:textId="77777777" w:rsidR="00440571" w:rsidRPr="00394B2E" w:rsidRDefault="00440571" w:rsidP="00440571">
      <w:pPr>
        <w:spacing w:after="120" w:line="240" w:lineRule="auto"/>
        <w:jc w:val="both"/>
        <w:rPr>
          <w:rFonts w:eastAsia="Georgia" w:cs="Calibri"/>
          <w:sz w:val="24"/>
          <w:szCs w:val="24"/>
        </w:rPr>
      </w:pPr>
      <w:r w:rsidRPr="00394B2E">
        <w:rPr>
          <w:rFonts w:eastAsia="Georgia" w:cs="Calibri"/>
          <w:color w:val="353535"/>
          <w:sz w:val="24"/>
          <w:szCs w:val="24"/>
        </w:rPr>
        <w:t xml:space="preserve">I </w:t>
      </w:r>
      <w:r w:rsidRPr="00394B2E">
        <w:rPr>
          <w:rFonts w:eastAsia="Georgia" w:cs="Calibri"/>
          <w:sz w:val="24"/>
          <w:szCs w:val="24"/>
        </w:rPr>
        <w:t>contribuenti che presentano il modello Iva 2026 possono versare il saldo Iva con rate di uguale importo. La scelta per il versamento rateale relativamente a saldo e acconti può avvenire per comportamenti concludenti (</w:t>
      </w:r>
      <w:r w:rsidRPr="00394B2E">
        <w:rPr>
          <w:rFonts w:eastAsia="Georgia" w:cs="Calibri"/>
          <w:sz w:val="24"/>
          <w:szCs w:val="24"/>
          <w:u w:val="single"/>
        </w:rPr>
        <w:t>Dlgs 1/2024</w:t>
      </w:r>
      <w:r w:rsidRPr="00394B2E">
        <w:rPr>
          <w:rFonts w:eastAsia="Georgia" w:cs="Calibri"/>
          <w:sz w:val="24"/>
          <w:szCs w:val="24"/>
        </w:rPr>
        <w:t>, «Decreto Semplificazioni adempimenti tributari», di modifica dell’</w:t>
      </w:r>
      <w:r w:rsidRPr="00394B2E">
        <w:rPr>
          <w:rFonts w:eastAsia="Georgia" w:cs="Calibri"/>
          <w:sz w:val="24"/>
          <w:szCs w:val="24"/>
          <w:u w:val="single"/>
        </w:rPr>
        <w:t>articolo 20 Dlgs 241/1997</w:t>
      </w:r>
      <w:r w:rsidRPr="00394B2E">
        <w:rPr>
          <w:rFonts w:eastAsia="Georgia" w:cs="Calibri"/>
          <w:sz w:val="24"/>
          <w:szCs w:val="24"/>
        </w:rPr>
        <w:t>).</w:t>
      </w:r>
    </w:p>
    <w:p w14:paraId="24440745" w14:textId="542A4E19" w:rsidR="00440571" w:rsidRPr="00394B2E" w:rsidRDefault="00440571" w:rsidP="00440571">
      <w:pPr>
        <w:spacing w:line="384" w:lineRule="auto"/>
        <w:jc w:val="both"/>
        <w:rPr>
          <w:rFonts w:eastAsia="Georgia" w:cs="Calibri"/>
          <w:sz w:val="24"/>
          <w:szCs w:val="24"/>
        </w:rPr>
      </w:pPr>
      <w:r w:rsidRPr="00394B2E">
        <w:rPr>
          <w:rFonts w:eastAsia="Georgia" w:cs="Calibri"/>
          <w:noProof/>
          <w:color w:val="353535"/>
          <w:sz w:val="24"/>
          <w:szCs w:val="24"/>
        </w:rPr>
        <w:drawing>
          <wp:inline distT="0" distB="0" distL="0" distR="0" wp14:anchorId="37D67026" wp14:editId="21530BC2">
            <wp:extent cx="5732145" cy="1268095"/>
            <wp:effectExtent l="0" t="0" r="1905" b="8255"/>
            <wp:docPr id="1506659544" name="Immagine 1" descr="Immagine che contiene testo, schermata, Caratte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mmagine che contiene testo, schermata, Carattere, nume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84" b="10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7B5E9" w14:textId="77777777" w:rsidR="00440571" w:rsidRPr="00394B2E" w:rsidRDefault="00440571" w:rsidP="00440571">
      <w:pPr>
        <w:spacing w:after="0" w:line="240" w:lineRule="auto"/>
        <w:jc w:val="both"/>
        <w:outlineLvl w:val="2"/>
        <w:rPr>
          <w:rFonts w:eastAsia="Times New Roman" w:cs="Calibri"/>
          <w:b/>
          <w:bCs/>
          <w:color w:val="124F1A"/>
          <w:sz w:val="24"/>
          <w:szCs w:val="24"/>
        </w:rPr>
      </w:pPr>
      <w:r w:rsidRPr="00394B2E">
        <w:rPr>
          <w:rFonts w:eastAsia="Times New Roman" w:cs="Calibri"/>
          <w:b/>
          <w:bCs/>
          <w:color w:val="124F1A"/>
          <w:sz w:val="24"/>
          <w:szCs w:val="24"/>
        </w:rPr>
        <w:t>Ravvedimento operoso – Omesso o insufficiente versamento del saldo IVA annuale</w:t>
      </w:r>
    </w:p>
    <w:p w14:paraId="4E6A8F4C" w14:textId="77777777" w:rsidR="00440571" w:rsidRPr="00C017AD" w:rsidRDefault="00440571" w:rsidP="00440571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C017AD">
        <w:rPr>
          <w:rFonts w:eastAsia="Times New Roman" w:cs="Calibri"/>
          <w:sz w:val="24"/>
          <w:szCs w:val="24"/>
        </w:rPr>
        <w:t xml:space="preserve">In caso di omesso o insufficiente versamento del saldo IVA annuale a debito, il contribuente può avvalersi dell’istituto del ravvedimento operoso, ai sensi dell’art. 13 del </w:t>
      </w:r>
      <w:proofErr w:type="spellStart"/>
      <w:r w:rsidRPr="00C017AD">
        <w:rPr>
          <w:rFonts w:eastAsia="Times New Roman" w:cs="Calibri"/>
          <w:sz w:val="24"/>
          <w:szCs w:val="24"/>
        </w:rPr>
        <w:t>D.Lgs.</w:t>
      </w:r>
      <w:proofErr w:type="spellEnd"/>
      <w:r w:rsidRPr="00C017AD">
        <w:rPr>
          <w:rFonts w:eastAsia="Times New Roman" w:cs="Calibri"/>
          <w:sz w:val="24"/>
          <w:szCs w:val="24"/>
        </w:rPr>
        <w:t xml:space="preserve"> n. 472/1997, al fine di regolarizzare spontaneamente la propria posizione.</w:t>
      </w:r>
    </w:p>
    <w:p w14:paraId="2C52E86E" w14:textId="77777777" w:rsidR="00440571" w:rsidRDefault="00440571" w:rsidP="00440571">
      <w:pPr>
        <w:pStyle w:val="Titolo2"/>
        <w:keepNext w:val="0"/>
        <w:keepLines w:val="0"/>
        <w:spacing w:before="0" w:after="0" w:line="240" w:lineRule="auto"/>
        <w:rPr>
          <w:rFonts w:ascii="Calibri" w:eastAsia="Andika" w:hAnsi="Calibri" w:cs="Calibri"/>
          <w:b/>
          <w:bCs/>
          <w:color w:val="124F1A"/>
          <w:sz w:val="24"/>
          <w:szCs w:val="24"/>
        </w:rPr>
      </w:pPr>
    </w:p>
    <w:sectPr w:rsidR="004405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ik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C40B2"/>
    <w:multiLevelType w:val="hybridMultilevel"/>
    <w:tmpl w:val="76761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A4E65"/>
    <w:multiLevelType w:val="hybridMultilevel"/>
    <w:tmpl w:val="FE7EC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B1279"/>
    <w:multiLevelType w:val="multilevel"/>
    <w:tmpl w:val="66400F6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0849DB"/>
    <w:multiLevelType w:val="hybridMultilevel"/>
    <w:tmpl w:val="069E5B5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9651B"/>
    <w:multiLevelType w:val="multilevel"/>
    <w:tmpl w:val="B554EB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562B44"/>
    <w:multiLevelType w:val="hybridMultilevel"/>
    <w:tmpl w:val="008AF7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D15BA"/>
    <w:multiLevelType w:val="multilevel"/>
    <w:tmpl w:val="30989B8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06B08EA"/>
    <w:multiLevelType w:val="multilevel"/>
    <w:tmpl w:val="A44686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22C58A5"/>
    <w:multiLevelType w:val="multilevel"/>
    <w:tmpl w:val="F35E025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ABA15DB"/>
    <w:multiLevelType w:val="hybridMultilevel"/>
    <w:tmpl w:val="30CC90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13D6F"/>
    <w:multiLevelType w:val="hybridMultilevel"/>
    <w:tmpl w:val="F2BEF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876889">
    <w:abstractNumId w:val="0"/>
  </w:num>
  <w:num w:numId="2" w16cid:durableId="1657413207">
    <w:abstractNumId w:val="1"/>
  </w:num>
  <w:num w:numId="3" w16cid:durableId="923681521">
    <w:abstractNumId w:val="10"/>
  </w:num>
  <w:num w:numId="4" w16cid:durableId="2078437525">
    <w:abstractNumId w:val="4"/>
  </w:num>
  <w:num w:numId="5" w16cid:durableId="1094595703">
    <w:abstractNumId w:val="7"/>
  </w:num>
  <w:num w:numId="6" w16cid:durableId="31923110">
    <w:abstractNumId w:val="6"/>
  </w:num>
  <w:num w:numId="7" w16cid:durableId="1944343971">
    <w:abstractNumId w:val="8"/>
  </w:num>
  <w:num w:numId="8" w16cid:durableId="452603537">
    <w:abstractNumId w:val="5"/>
  </w:num>
  <w:num w:numId="9" w16cid:durableId="631446898">
    <w:abstractNumId w:val="3"/>
  </w:num>
  <w:num w:numId="10" w16cid:durableId="1741488398">
    <w:abstractNumId w:val="2"/>
  </w:num>
  <w:num w:numId="11" w16cid:durableId="521169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8E"/>
    <w:rsid w:val="000D2CBB"/>
    <w:rsid w:val="000D7FE5"/>
    <w:rsid w:val="00423068"/>
    <w:rsid w:val="00440571"/>
    <w:rsid w:val="00585C70"/>
    <w:rsid w:val="005E0479"/>
    <w:rsid w:val="00821C7A"/>
    <w:rsid w:val="00B7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1AB5"/>
  <w15:chartTrackingRefBased/>
  <w15:docId w15:val="{C7FEEB4E-0CF6-47EA-BA8F-EEE0FD4C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0571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1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1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1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71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1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1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1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1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1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1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1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1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7148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148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14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14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14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14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1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1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1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1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14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714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14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1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14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148E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e"/>
    <w:rsid w:val="000D7F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D7FE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D7F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40571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057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Mangione</dc:creator>
  <cp:keywords/>
  <dc:description/>
  <cp:lastModifiedBy>Antonio Mangione</cp:lastModifiedBy>
  <cp:revision>1</cp:revision>
  <cp:lastPrinted>2026-03-03T08:16:00Z</cp:lastPrinted>
  <dcterms:created xsi:type="dcterms:W3CDTF">2026-03-03T08:15:00Z</dcterms:created>
  <dcterms:modified xsi:type="dcterms:W3CDTF">2026-03-03T10:00:00Z</dcterms:modified>
</cp:coreProperties>
</file>