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3CD73" w14:textId="77777777" w:rsidR="00440571" w:rsidRPr="00102A21" w:rsidRDefault="00440571" w:rsidP="00440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0" w:line="240" w:lineRule="auto"/>
        <w:rPr>
          <w:rFonts w:cs="Calibri"/>
          <w:b/>
          <w:bCs/>
          <w:color w:val="275317"/>
          <w:sz w:val="32"/>
          <w:szCs w:val="32"/>
        </w:rPr>
      </w:pPr>
      <w:r w:rsidRPr="00102A21">
        <w:rPr>
          <w:rFonts w:cs="Calibri"/>
          <w:b/>
          <w:bCs/>
          <w:color w:val="275317"/>
          <w:sz w:val="32"/>
          <w:szCs w:val="32"/>
        </w:rPr>
        <w:t>Certificazione Unica 2026 – Scadenze</w:t>
      </w:r>
    </w:p>
    <w:p w14:paraId="1EFDA94B" w14:textId="77777777" w:rsidR="00440571" w:rsidRDefault="00440571" w:rsidP="00440571">
      <w:pPr>
        <w:shd w:val="clear" w:color="auto" w:fill="FFFFFF"/>
        <w:spacing w:after="0" w:line="240" w:lineRule="auto"/>
        <w:outlineLvl w:val="0"/>
        <w:rPr>
          <w:rFonts w:cs="Calibri"/>
        </w:rPr>
      </w:pPr>
    </w:p>
    <w:p w14:paraId="0454671C" w14:textId="77777777" w:rsidR="00440571" w:rsidRPr="00423068" w:rsidRDefault="00440571" w:rsidP="00440571">
      <w:pPr>
        <w:spacing w:after="240"/>
        <w:jc w:val="both"/>
        <w:rPr>
          <w:rFonts w:cs="Calibri"/>
          <w:sz w:val="24"/>
          <w:szCs w:val="24"/>
        </w:rPr>
      </w:pPr>
      <w:r w:rsidRPr="00423068">
        <w:rPr>
          <w:rFonts w:cs="Calibri"/>
          <w:sz w:val="24"/>
          <w:szCs w:val="24"/>
        </w:rPr>
        <w:t xml:space="preserve">La CU 2026 (redditi 2025) recepisce le modifiche normative intervenute nel biennio 2024–2025 e </w:t>
      </w:r>
      <w:r w:rsidRPr="00423068">
        <w:rPr>
          <w:rFonts w:cs="Calibri"/>
          <w:sz w:val="24"/>
          <w:szCs w:val="24"/>
          <w:u w:val="single"/>
        </w:rPr>
        <w:t>introduce una</w:t>
      </w:r>
      <w:r w:rsidRPr="00423068">
        <w:rPr>
          <w:rFonts w:cs="Calibri"/>
          <w:sz w:val="24"/>
          <w:szCs w:val="24"/>
        </w:rPr>
        <w:t xml:space="preserve"> </w:t>
      </w:r>
      <w:r w:rsidRPr="00423068">
        <w:rPr>
          <w:rFonts w:cs="Calibri"/>
          <w:sz w:val="24"/>
          <w:szCs w:val="24"/>
          <w:u w:val="single"/>
        </w:rPr>
        <w:t>differenziazione dei termini di trasmissione</w:t>
      </w:r>
      <w:r w:rsidRPr="00423068">
        <w:rPr>
          <w:rFonts w:cs="Calibri"/>
          <w:sz w:val="24"/>
          <w:szCs w:val="24"/>
        </w:rPr>
        <w:t xml:space="preserve"> in base alla natura del reddito certificato. La corretta individuazione della tipologia reddituale assume quindi rilievo determinante ai fini del rispetto delle scadenze e della gestione del relativo regime sanzionatorio.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59"/>
      </w:tblGrid>
      <w:tr w:rsidR="00440571" w:rsidRPr="00102A21" w14:paraId="5E3C80F5" w14:textId="77777777" w:rsidTr="009003C6">
        <w:tc>
          <w:tcPr>
            <w:tcW w:w="2830" w:type="dxa"/>
          </w:tcPr>
          <w:p w14:paraId="35044DE0" w14:textId="77777777" w:rsidR="00440571" w:rsidRPr="00102A21" w:rsidRDefault="00440571" w:rsidP="009003C6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  <w:t>16 marzo 2026</w:t>
            </w:r>
          </w:p>
          <w:p w14:paraId="012C66C4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0"/>
              <w:jc w:val="center"/>
              <w:rPr>
                <w:rFonts w:ascii="Aptos Display" w:hAnsi="Aptos Display" w:cs="Aptos Display"/>
                <w:color w:val="auto"/>
              </w:rPr>
            </w:pPr>
            <w:r w:rsidRPr="00102A21">
              <w:rPr>
                <w:rFonts w:ascii="Aptos Display" w:hAnsi="Aptos Display" w:cs="Aptos Display"/>
                <w:color w:val="auto"/>
              </w:rPr>
              <w:t>Scadenza</w:t>
            </w:r>
            <w:r w:rsidRPr="00102A21">
              <w:rPr>
                <w:rFonts w:ascii="Aptos Display" w:hAnsi="Aptos Display" w:cs="Aptos Display"/>
                <w:b/>
                <w:bCs/>
                <w:color w:val="auto"/>
              </w:rPr>
              <w:t xml:space="preserve"> </w:t>
            </w:r>
            <w:r w:rsidRPr="00102A21">
              <w:rPr>
                <w:rFonts w:ascii="Aptos Display" w:hAnsi="Aptos Display" w:cs="Aptos Display"/>
                <w:color w:val="auto"/>
              </w:rPr>
              <w:t>Invio telematico all’Agenzia delle Entrate e consegna al percipiente per:</w:t>
            </w:r>
          </w:p>
        </w:tc>
        <w:tc>
          <w:tcPr>
            <w:tcW w:w="7059" w:type="dxa"/>
          </w:tcPr>
          <w:p w14:paraId="1F6F1F42" w14:textId="77777777" w:rsidR="00440571" w:rsidRPr="00102A21" w:rsidRDefault="00440571" w:rsidP="00440571">
            <w:pPr>
              <w:numPr>
                <w:ilvl w:val="0"/>
                <w:numId w:val="1"/>
              </w:numPr>
              <w:spacing w:before="480" w:after="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redditi di lavoro dipendente e assimilati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;</w:t>
            </w:r>
          </w:p>
          <w:p w14:paraId="050EE758" w14:textId="77777777" w:rsidR="00440571" w:rsidRPr="00102A21" w:rsidRDefault="00440571" w:rsidP="004405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lavoro autonomo occasionale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;</w:t>
            </w:r>
          </w:p>
          <w:p w14:paraId="27CDDB12" w14:textId="77777777" w:rsidR="00440571" w:rsidRPr="00102A21" w:rsidRDefault="00440571" w:rsidP="004405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redditi diversi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;</w:t>
            </w:r>
          </w:p>
          <w:p w14:paraId="1F5A174C" w14:textId="77777777" w:rsidR="00440571" w:rsidRPr="00102A21" w:rsidRDefault="00440571" w:rsidP="00440571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ptos Display" w:eastAsia="Arial" w:hAnsi="Aptos Display" w:cs="Aptos Display"/>
                <w:color w:val="3A7C22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3A7C22"/>
              </w:rPr>
              <w:t>redditi da locazioni brevi</w:t>
            </w:r>
            <w:r w:rsidRPr="00102A21">
              <w:rPr>
                <w:rFonts w:ascii="Aptos Display" w:eastAsia="Arial" w:hAnsi="Aptos Display" w:cs="Aptos Display"/>
                <w:color w:val="3A7C22"/>
              </w:rPr>
              <w:t>.</w:t>
            </w:r>
          </w:p>
        </w:tc>
      </w:tr>
      <w:tr w:rsidR="00440571" w:rsidRPr="00102A21" w14:paraId="4D0A532C" w14:textId="77777777" w:rsidTr="009003C6">
        <w:tc>
          <w:tcPr>
            <w:tcW w:w="2830" w:type="dxa"/>
          </w:tcPr>
          <w:p w14:paraId="522C1DFE" w14:textId="77777777" w:rsidR="00440571" w:rsidRPr="00102A21" w:rsidRDefault="00440571" w:rsidP="009003C6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  <w:t>30 aprile 2026</w:t>
            </w:r>
          </w:p>
          <w:p w14:paraId="0187797C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240"/>
              <w:jc w:val="center"/>
              <w:rPr>
                <w:rFonts w:ascii="Aptos Display" w:hAnsi="Aptos Display" w:cs="Aptos Display"/>
                <w:color w:val="auto"/>
              </w:rPr>
            </w:pPr>
            <w:r w:rsidRPr="00102A21">
              <w:rPr>
                <w:rFonts w:ascii="Aptos Display" w:hAnsi="Aptos Display" w:cs="Aptos Display"/>
                <w:color w:val="auto"/>
              </w:rPr>
              <w:t>Scadenza</w:t>
            </w:r>
            <w:r w:rsidRPr="00102A21">
              <w:rPr>
                <w:rFonts w:ascii="Aptos Display" w:hAnsi="Aptos Display" w:cs="Aptos Display"/>
                <w:b/>
                <w:bCs/>
                <w:color w:val="auto"/>
              </w:rPr>
              <w:t xml:space="preserve"> </w:t>
            </w:r>
            <w:r w:rsidRPr="00102A21">
              <w:rPr>
                <w:rFonts w:ascii="Aptos Display" w:hAnsi="Aptos Display" w:cs="Aptos Display"/>
                <w:color w:val="auto"/>
              </w:rPr>
              <w:t>Invio telematico all’Agenzia delle Entrate e consegna al percipiente per:</w:t>
            </w:r>
          </w:p>
        </w:tc>
        <w:tc>
          <w:tcPr>
            <w:tcW w:w="7059" w:type="dxa"/>
          </w:tcPr>
          <w:p w14:paraId="454C4637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2"/>
              </w:numPr>
              <w:spacing w:before="480" w:after="0" w:line="240" w:lineRule="auto"/>
              <w:jc w:val="both"/>
              <w:rPr>
                <w:rFonts w:ascii="Aptos Display" w:hAnsi="Aptos Display" w:cs="Aptos Display"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>redditi di lavoro autonomo professionale</w:t>
            </w:r>
            <w:r w:rsidRPr="00102A21">
              <w:rPr>
                <w:rFonts w:ascii="Aptos Display" w:hAnsi="Aptos Display" w:cs="Aptos Display"/>
                <w:color w:val="3A7C22"/>
              </w:rPr>
              <w:t>;</w:t>
            </w:r>
          </w:p>
          <w:p w14:paraId="1A2E805B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Aptos Display" w:hAnsi="Aptos Display" w:cs="Aptos Display"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>provvigioni</w:t>
            </w:r>
            <w:r w:rsidRPr="00102A21">
              <w:rPr>
                <w:rFonts w:ascii="Aptos Display" w:hAnsi="Aptos Display" w:cs="Aptos Display"/>
                <w:color w:val="3A7C22"/>
              </w:rPr>
              <w:t xml:space="preserve">; </w:t>
            </w:r>
          </w:p>
          <w:p w14:paraId="04FECFDF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0"/>
              <w:ind w:left="530"/>
              <w:rPr>
                <w:rFonts w:ascii="Aptos Display" w:hAnsi="Aptos Display" w:cs="Aptos Display"/>
                <w:color w:val="auto"/>
                <w:sz w:val="16"/>
                <w:szCs w:val="16"/>
              </w:rPr>
            </w:pPr>
            <w:r w:rsidRPr="00102A21">
              <w:rPr>
                <w:rFonts w:ascii="Aptos Display" w:hAnsi="Aptos Display" w:cs="Aptos Display"/>
                <w:color w:val="auto"/>
                <w:sz w:val="16"/>
                <w:szCs w:val="16"/>
              </w:rPr>
              <w:t xml:space="preserve">      (agenzia, mediazione, commissione, rappresentanza, procacciamento).</w:t>
            </w:r>
          </w:p>
          <w:p w14:paraId="3E7942F4" w14:textId="77777777" w:rsidR="00440571" w:rsidRPr="00102A21" w:rsidRDefault="00440571" w:rsidP="009003C6">
            <w:pPr>
              <w:spacing w:after="0" w:line="240" w:lineRule="auto"/>
              <w:jc w:val="both"/>
              <w:rPr>
                <w:rFonts w:ascii="Aptos Display" w:eastAsia="Arial" w:hAnsi="Aptos Display" w:cs="Aptos Display"/>
              </w:rPr>
            </w:pPr>
          </w:p>
        </w:tc>
      </w:tr>
      <w:tr w:rsidR="00440571" w:rsidRPr="00102A21" w14:paraId="2D0DEAEB" w14:textId="77777777" w:rsidTr="009003C6">
        <w:tc>
          <w:tcPr>
            <w:tcW w:w="2830" w:type="dxa"/>
          </w:tcPr>
          <w:p w14:paraId="2025923B" w14:textId="77777777" w:rsidR="00440571" w:rsidRPr="00102A21" w:rsidRDefault="00440571" w:rsidP="009003C6">
            <w:pPr>
              <w:pBdr>
                <w:bottom w:val="single" w:sz="4" w:space="1" w:color="auto"/>
              </w:pBdr>
              <w:spacing w:before="120" w:after="120"/>
              <w:jc w:val="both"/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</w:pPr>
            <w:r w:rsidRPr="00102A21">
              <w:rPr>
                <w:rFonts w:ascii="Aptos Display" w:eastAsia="Arial" w:hAnsi="Aptos Display" w:cs="Aptos Display"/>
                <w:b/>
                <w:bCs/>
                <w:color w:val="13290C"/>
                <w:sz w:val="24"/>
                <w:szCs w:val="24"/>
              </w:rPr>
              <w:t>2 novembre 2026</w:t>
            </w:r>
          </w:p>
          <w:p w14:paraId="5C67B3B4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240"/>
              <w:jc w:val="center"/>
              <w:rPr>
                <w:rFonts w:ascii="Aptos Display" w:hAnsi="Aptos Display" w:cs="Aptos Display"/>
                <w:color w:val="auto"/>
              </w:rPr>
            </w:pPr>
            <w:r w:rsidRPr="00102A21">
              <w:rPr>
                <w:rFonts w:ascii="Aptos Display" w:hAnsi="Aptos Display" w:cs="Aptos Display"/>
                <w:color w:val="auto"/>
              </w:rPr>
              <w:t>Scadenza</w:t>
            </w:r>
            <w:r w:rsidRPr="00102A21">
              <w:rPr>
                <w:rFonts w:ascii="Aptos Display" w:hAnsi="Aptos Display" w:cs="Aptos Display"/>
                <w:b/>
                <w:bCs/>
                <w:color w:val="auto"/>
              </w:rPr>
              <w:t xml:space="preserve"> </w:t>
            </w:r>
            <w:r w:rsidRPr="00102A21">
              <w:rPr>
                <w:rFonts w:ascii="Aptos Display" w:hAnsi="Aptos Display" w:cs="Aptos Display"/>
                <w:color w:val="auto"/>
              </w:rPr>
              <w:t>Invio telematico all’Agenzia delle Entrate per:</w:t>
            </w:r>
          </w:p>
        </w:tc>
        <w:tc>
          <w:tcPr>
            <w:tcW w:w="7059" w:type="dxa"/>
          </w:tcPr>
          <w:p w14:paraId="1165EB2B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480" w:after="0" w:line="240" w:lineRule="auto"/>
              <w:ind w:left="530"/>
              <w:jc w:val="both"/>
              <w:rPr>
                <w:rFonts w:ascii="Aptos Display" w:hAnsi="Aptos Display" w:cs="Aptos Display"/>
                <w:b/>
                <w:bCs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 xml:space="preserve">redditi esenti; </w:t>
            </w:r>
          </w:p>
          <w:p w14:paraId="0DFB7DE2" w14:textId="77777777" w:rsidR="00440571" w:rsidRPr="00102A21" w:rsidRDefault="00440571" w:rsidP="009003C6">
            <w:pPr>
              <w:pStyle w:val="NormaleWeb"/>
              <w:spacing w:before="0" w:beforeAutospacing="0" w:after="0" w:afterAutospacing="0"/>
              <w:ind w:left="51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02A21">
              <w:rPr>
                <w:rFonts w:ascii="Calibri" w:hAnsi="Calibri" w:cs="Calibri"/>
                <w:sz w:val="16"/>
                <w:szCs w:val="16"/>
              </w:rPr>
              <w:t>Borse di studio esenti - Indennità per invalidità - Risarcimenti danni non imponibili - Alcune indennità INAIL - Compensi sportivi dilettantistici entro soglia di esenzione - Rimborsi spese documentati non imponibili</w:t>
            </w:r>
          </w:p>
          <w:p w14:paraId="0418EF7E" w14:textId="77777777" w:rsidR="00440571" w:rsidRPr="00102A21" w:rsidRDefault="00440571" w:rsidP="00440571">
            <w:pPr>
              <w:pStyle w:val="Titolo4"/>
              <w:keepNext w:val="0"/>
              <w:keepLines w:val="0"/>
              <w:numPr>
                <w:ilvl w:val="0"/>
                <w:numId w:val="3"/>
              </w:numPr>
              <w:spacing w:before="120" w:after="0" w:line="240" w:lineRule="auto"/>
              <w:ind w:left="530"/>
              <w:jc w:val="both"/>
              <w:rPr>
                <w:rFonts w:ascii="Aptos Display" w:hAnsi="Aptos Display" w:cs="Aptos Display"/>
                <w:b/>
                <w:bCs/>
                <w:color w:val="3A7C22"/>
              </w:rPr>
            </w:pPr>
            <w:r w:rsidRPr="00102A21">
              <w:rPr>
                <w:rFonts w:ascii="Aptos Display" w:hAnsi="Aptos Display" w:cs="Aptos Display"/>
                <w:b/>
                <w:bCs/>
                <w:color w:val="3A7C22"/>
              </w:rPr>
              <w:t>somme non dichiarabili tramite dichiarazione precompilata;</w:t>
            </w:r>
          </w:p>
          <w:p w14:paraId="4BA86494" w14:textId="77777777" w:rsidR="00440571" w:rsidRPr="00102A21" w:rsidRDefault="00440571" w:rsidP="009003C6">
            <w:pPr>
              <w:pStyle w:val="NormaleWeb"/>
              <w:spacing w:before="0" w:beforeAutospacing="0" w:after="0" w:afterAutospacing="0"/>
              <w:ind w:left="510"/>
              <w:jc w:val="both"/>
              <w:rPr>
                <w:rFonts w:ascii="Aptos Display" w:hAnsi="Aptos Display" w:cs="Aptos Display"/>
                <w:sz w:val="16"/>
                <w:szCs w:val="16"/>
              </w:rPr>
            </w:pPr>
            <w:r w:rsidRPr="00102A21">
              <w:rPr>
                <w:rFonts w:ascii="Aptos Display" w:hAnsi="Aptos Display" w:cs="Aptos Display"/>
                <w:sz w:val="16"/>
                <w:szCs w:val="16"/>
              </w:rPr>
              <w:t>Redditi soggetti a ritenuta a titolo d’imposta - Redditi soggetti a imposta sostitutiva - Compensi a soggetti non residenti - Alcuni redditi di capitale - Alcuni compensi occasionali senza obbligo dichiarativo.</w:t>
            </w:r>
          </w:p>
          <w:p w14:paraId="16275743" w14:textId="77777777" w:rsidR="00440571" w:rsidRPr="00102A21" w:rsidRDefault="00440571" w:rsidP="009003C6">
            <w:pPr>
              <w:pStyle w:val="Titolo4"/>
              <w:keepNext w:val="0"/>
              <w:keepLines w:val="0"/>
              <w:spacing w:before="0" w:after="0"/>
              <w:ind w:left="530"/>
              <w:rPr>
                <w:rFonts w:ascii="Aptos Display" w:hAnsi="Aptos Display" w:cs="Aptos Display"/>
                <w:color w:val="auto"/>
                <w:sz w:val="16"/>
                <w:szCs w:val="16"/>
              </w:rPr>
            </w:pPr>
          </w:p>
          <w:p w14:paraId="7E4B627A" w14:textId="77777777" w:rsidR="00440571" w:rsidRPr="00102A21" w:rsidRDefault="00440571" w:rsidP="009003C6">
            <w:pPr>
              <w:spacing w:after="0" w:line="240" w:lineRule="auto"/>
              <w:jc w:val="both"/>
              <w:rPr>
                <w:rFonts w:ascii="Aptos Display" w:eastAsia="Arial" w:hAnsi="Aptos Display" w:cs="Aptos Display"/>
              </w:rPr>
            </w:pPr>
          </w:p>
        </w:tc>
      </w:tr>
    </w:tbl>
    <w:p w14:paraId="09F9F1F2" w14:textId="77777777" w:rsidR="00440571" w:rsidRPr="00423068" w:rsidRDefault="00440571" w:rsidP="00440571">
      <w:pPr>
        <w:pBdr>
          <w:bottom w:val="single" w:sz="4" w:space="1" w:color="auto"/>
        </w:pBdr>
        <w:spacing w:before="240" w:after="0" w:line="240" w:lineRule="auto"/>
        <w:jc w:val="both"/>
        <w:outlineLvl w:val="1"/>
        <w:rPr>
          <w:rFonts w:eastAsia="Times New Roman" w:cs="Calibri"/>
          <w:b/>
          <w:bCs/>
          <w:color w:val="275317"/>
          <w:sz w:val="24"/>
          <w:szCs w:val="24"/>
        </w:rPr>
      </w:pPr>
      <w:r w:rsidRPr="00423068">
        <w:rPr>
          <w:rFonts w:eastAsia="Times New Roman" w:cs="Calibri"/>
          <w:b/>
          <w:bCs/>
          <w:color w:val="275317"/>
          <w:sz w:val="24"/>
          <w:szCs w:val="24"/>
        </w:rPr>
        <w:t>CU 2026: esonero per i forfettari, ma con eccezioni</w:t>
      </w:r>
    </w:p>
    <w:p w14:paraId="54C389B5" w14:textId="77777777" w:rsidR="00440571" w:rsidRPr="00423068" w:rsidRDefault="00440571" w:rsidP="00440571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 xml:space="preserve">Anche per il 2026 </w:t>
      </w:r>
      <w:r w:rsidRPr="00423068">
        <w:rPr>
          <w:rFonts w:eastAsia="Times New Roman" w:cs="Calibri"/>
          <w:sz w:val="24"/>
          <w:szCs w:val="24"/>
          <w:u w:val="single"/>
        </w:rPr>
        <w:t>è confermato l’esonero dall’invio della Certificazione Unica per i compensi</w:t>
      </w:r>
      <w:r w:rsidRPr="00423068">
        <w:rPr>
          <w:rFonts w:eastAsia="Times New Roman" w:cs="Calibri"/>
          <w:sz w:val="24"/>
          <w:szCs w:val="24"/>
        </w:rPr>
        <w:t xml:space="preserve"> corrisposti a contribuenti in regime forfettario.</w:t>
      </w:r>
    </w:p>
    <w:p w14:paraId="6C86D8D1" w14:textId="77777777" w:rsidR="00440571" w:rsidRPr="00423068" w:rsidRDefault="00440571" w:rsidP="00440571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>La semplificazione è legata all’obbligo generalizzato di fatturazione elettronica: poiché i dati dei compensi percepiti transitano tramite il Sistema di Interscambio (</w:t>
      </w:r>
      <w:proofErr w:type="spellStart"/>
      <w:r w:rsidRPr="00423068">
        <w:rPr>
          <w:rFonts w:eastAsia="Times New Roman" w:cs="Calibri"/>
          <w:sz w:val="24"/>
          <w:szCs w:val="24"/>
        </w:rPr>
        <w:t>SdI</w:t>
      </w:r>
      <w:proofErr w:type="spellEnd"/>
      <w:r w:rsidRPr="00423068">
        <w:rPr>
          <w:rFonts w:eastAsia="Times New Roman" w:cs="Calibri"/>
          <w:sz w:val="24"/>
          <w:szCs w:val="24"/>
        </w:rPr>
        <w:t>), l’Agenzia delle Entrate è già in possesso delle informazioni necessarie e non è quindi richiesta la CU.</w:t>
      </w:r>
    </w:p>
    <w:p w14:paraId="0C38B1A1" w14:textId="77777777" w:rsidR="00440571" w:rsidRPr="00423068" w:rsidRDefault="00440571" w:rsidP="00440571">
      <w:pPr>
        <w:spacing w:before="120" w:after="0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>Tuttavia, l’esonero non vale per tutte le partite IVA in regime agevolato. Restano obbligati all’invio della CU i sostituti d’imposta che corrispondono compensi a categorie escluse dall’obbligo di fatturazione elettronica.</w:t>
      </w:r>
    </w:p>
    <w:p w14:paraId="76032FF2" w14:textId="77777777" w:rsidR="00440571" w:rsidRPr="00423068" w:rsidRDefault="00440571" w:rsidP="00440571">
      <w:pPr>
        <w:spacing w:after="100" w:afterAutospacing="1" w:line="240" w:lineRule="auto"/>
        <w:jc w:val="both"/>
        <w:rPr>
          <w:rFonts w:eastAsia="Times New Roman" w:cs="Calibri"/>
          <w:sz w:val="24"/>
          <w:szCs w:val="24"/>
        </w:rPr>
      </w:pPr>
      <w:r w:rsidRPr="00423068">
        <w:rPr>
          <w:rFonts w:eastAsia="Times New Roman" w:cs="Calibri"/>
          <w:sz w:val="24"/>
          <w:szCs w:val="24"/>
        </w:rPr>
        <w:t xml:space="preserve">È il caso, ad esempio, dei </w:t>
      </w:r>
      <w:r w:rsidRPr="00423068">
        <w:rPr>
          <w:rFonts w:eastAsia="Times New Roman" w:cs="Calibri"/>
          <w:sz w:val="24"/>
          <w:szCs w:val="24"/>
          <w:u w:val="single"/>
        </w:rPr>
        <w:t>medici convenzionati con il Servizio Sanitario Nazionale</w:t>
      </w:r>
      <w:r w:rsidRPr="00423068">
        <w:rPr>
          <w:rFonts w:eastAsia="Times New Roman" w:cs="Calibri"/>
          <w:sz w:val="24"/>
          <w:szCs w:val="24"/>
        </w:rPr>
        <w:t xml:space="preserve">, per i quali è </w:t>
      </w:r>
      <w:r w:rsidRPr="00423068">
        <w:rPr>
          <w:rFonts w:eastAsia="Times New Roman" w:cs="Calibri"/>
          <w:sz w:val="24"/>
          <w:szCs w:val="24"/>
          <w:u w:val="single"/>
        </w:rPr>
        <w:t xml:space="preserve">confermato il divieto di emissione della fattura elettronica tramite </w:t>
      </w:r>
      <w:proofErr w:type="spellStart"/>
      <w:r w:rsidRPr="00423068">
        <w:rPr>
          <w:rFonts w:eastAsia="Times New Roman" w:cs="Calibri"/>
          <w:sz w:val="24"/>
          <w:szCs w:val="24"/>
          <w:u w:val="single"/>
        </w:rPr>
        <w:t>SdI</w:t>
      </w:r>
      <w:proofErr w:type="spellEnd"/>
      <w:r w:rsidRPr="00423068">
        <w:rPr>
          <w:rFonts w:eastAsia="Times New Roman" w:cs="Calibri"/>
          <w:sz w:val="24"/>
          <w:szCs w:val="24"/>
          <w:u w:val="single"/>
        </w:rPr>
        <w:t>: in assenza di trasmissione telematica dei dati, l’obbligo di Certificazione Unica rimane</w:t>
      </w:r>
      <w:r w:rsidRPr="00423068">
        <w:rPr>
          <w:rFonts w:eastAsia="Times New Roman" w:cs="Calibri"/>
          <w:sz w:val="24"/>
          <w:szCs w:val="24"/>
        </w:rPr>
        <w:t>.</w:t>
      </w:r>
    </w:p>
    <w:p w14:paraId="675F7C9F" w14:textId="35F3A92E" w:rsidR="00821C7A" w:rsidRDefault="00821C7A">
      <w:pPr>
        <w:rPr>
          <w:noProof/>
        </w:rPr>
      </w:pPr>
    </w:p>
    <w:p w14:paraId="2C52E86E" w14:textId="77777777" w:rsidR="00440571" w:rsidRDefault="00440571" w:rsidP="00440571">
      <w:pPr>
        <w:pStyle w:val="Titolo2"/>
        <w:keepNext w:val="0"/>
        <w:keepLines w:val="0"/>
        <w:spacing w:before="0" w:after="0" w:line="240" w:lineRule="auto"/>
        <w:rPr>
          <w:rFonts w:ascii="Calibri" w:eastAsia="Andika" w:hAnsi="Calibri" w:cs="Calibri"/>
          <w:b/>
          <w:bCs/>
          <w:color w:val="124F1A"/>
          <w:sz w:val="24"/>
          <w:szCs w:val="24"/>
        </w:rPr>
      </w:pPr>
      <w:bookmarkStart w:id="0" w:name="_GoBack"/>
      <w:bookmarkEnd w:id="0"/>
    </w:p>
    <w:sectPr w:rsidR="004405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ik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C40B2"/>
    <w:multiLevelType w:val="hybridMultilevel"/>
    <w:tmpl w:val="7676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A4E65"/>
    <w:multiLevelType w:val="hybridMultilevel"/>
    <w:tmpl w:val="FE7EC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279"/>
    <w:multiLevelType w:val="multilevel"/>
    <w:tmpl w:val="66400F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0849DB"/>
    <w:multiLevelType w:val="hybridMultilevel"/>
    <w:tmpl w:val="069E5B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9651B"/>
    <w:multiLevelType w:val="multilevel"/>
    <w:tmpl w:val="B554EB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562B44"/>
    <w:multiLevelType w:val="hybridMultilevel"/>
    <w:tmpl w:val="008AF7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D15BA"/>
    <w:multiLevelType w:val="multilevel"/>
    <w:tmpl w:val="30989B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6B08EA"/>
    <w:multiLevelType w:val="multilevel"/>
    <w:tmpl w:val="A44686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2C58A5"/>
    <w:multiLevelType w:val="multilevel"/>
    <w:tmpl w:val="F35E02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BA15DB"/>
    <w:multiLevelType w:val="hybridMultilevel"/>
    <w:tmpl w:val="30CC90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13D6F"/>
    <w:multiLevelType w:val="hybridMultilevel"/>
    <w:tmpl w:val="F2BEF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E"/>
    <w:rsid w:val="000D2CBB"/>
    <w:rsid w:val="000D7FE5"/>
    <w:rsid w:val="00423068"/>
    <w:rsid w:val="00440571"/>
    <w:rsid w:val="00517F27"/>
    <w:rsid w:val="00585C70"/>
    <w:rsid w:val="005E0479"/>
    <w:rsid w:val="00821C7A"/>
    <w:rsid w:val="00B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AB5"/>
  <w15:chartTrackingRefBased/>
  <w15:docId w15:val="{C7FEEB4E-0CF6-47EA-BA8F-EEE0FD4C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571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1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7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1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1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1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1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714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14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14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14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14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14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14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714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14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1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14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148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0D7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D7FE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D7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4057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05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Mangione</dc:creator>
  <cp:keywords/>
  <dc:description/>
  <cp:lastModifiedBy>collaboratore</cp:lastModifiedBy>
  <cp:revision>2</cp:revision>
  <cp:lastPrinted>2026-03-03T08:16:00Z</cp:lastPrinted>
  <dcterms:created xsi:type="dcterms:W3CDTF">2026-03-03T08:15:00Z</dcterms:created>
  <dcterms:modified xsi:type="dcterms:W3CDTF">2026-03-04T08:33:00Z</dcterms:modified>
</cp:coreProperties>
</file>