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B9D" w14:textId="77777777" w:rsidR="00DF4EBF" w:rsidRDefault="00DF4EBF" w:rsidP="00DF4EBF">
      <w:pPr>
        <w:jc w:val="both"/>
        <w:rPr>
          <w:rFonts w:ascii="Times New Roman" w:hAnsi="Times New Roman" w:cs="Times New Roman"/>
          <w:sz w:val="26"/>
          <w:szCs w:val="26"/>
        </w:rPr>
      </w:pPr>
    </w:p>
    <w:p w14:paraId="4D73B29B" w14:textId="4AA06EAF" w:rsidR="00DF4EBF" w:rsidRDefault="00DF4EBF" w:rsidP="00DF4EBF">
      <w:pPr>
        <w:jc w:val="both"/>
        <w:rPr>
          <w:rFonts w:ascii="Times New Roman" w:hAnsi="Times New Roman" w:cs="Times New Roman"/>
          <w:sz w:val="26"/>
          <w:szCs w:val="26"/>
        </w:rPr>
      </w:pPr>
      <w:r>
        <w:rPr>
          <w:rFonts w:ascii="Times New Roman" w:hAnsi="Times New Roman" w:cs="Times New Roman"/>
          <w:sz w:val="26"/>
          <w:szCs w:val="26"/>
        </w:rPr>
        <w:t>Bari 18 febbraio 2026</w:t>
      </w:r>
    </w:p>
    <w:p w14:paraId="69000289" w14:textId="7D80B383" w:rsidR="00DF4EBF" w:rsidRPr="00635C06" w:rsidRDefault="00DF4EBF" w:rsidP="00DF4EBF">
      <w:pPr>
        <w:jc w:val="both"/>
        <w:rPr>
          <w:rFonts w:ascii="Times New Roman" w:hAnsi="Times New Roman" w:cs="Times New Roman"/>
          <w:sz w:val="26"/>
          <w:szCs w:val="26"/>
        </w:rPr>
      </w:pPr>
      <w:r w:rsidRPr="00635C06">
        <w:rPr>
          <w:rFonts w:ascii="Times New Roman" w:hAnsi="Times New Roman" w:cs="Times New Roman"/>
          <w:sz w:val="26"/>
          <w:szCs w:val="26"/>
        </w:rPr>
        <w:t xml:space="preserve">La presente nota riguarda la tematica della revisione dei trattori </w:t>
      </w:r>
      <w:r w:rsidRPr="00635C06">
        <w:rPr>
          <w:rFonts w:ascii="Times New Roman" w:hAnsi="Times New Roman" w:cs="Times New Roman"/>
          <w:b/>
          <w:bCs/>
          <w:sz w:val="26"/>
          <w:szCs w:val="26"/>
          <w:u w:val="single"/>
        </w:rPr>
        <w:t xml:space="preserve">con velocità di progetto superiore a 40 km/h </w:t>
      </w:r>
    </w:p>
    <w:p w14:paraId="406E39E1" w14:textId="77777777" w:rsidR="00DF4EBF" w:rsidRPr="00635C06" w:rsidRDefault="00DF4EBF" w:rsidP="00DF4EBF">
      <w:pPr>
        <w:spacing w:after="200" w:line="276" w:lineRule="auto"/>
        <w:jc w:val="both"/>
        <w:rPr>
          <w:rFonts w:ascii="Times New Roman" w:hAnsi="Times New Roman" w:cs="Times New Roman"/>
          <w:sz w:val="26"/>
          <w:szCs w:val="26"/>
        </w:rPr>
      </w:pPr>
      <w:r w:rsidRPr="00635C06">
        <w:rPr>
          <w:rFonts w:ascii="Times New Roman" w:hAnsi="Times New Roman" w:cs="Times New Roman"/>
          <w:sz w:val="26"/>
          <w:szCs w:val="26"/>
        </w:rPr>
        <w:t>Al riguardo si informa che il Ministero dell’Interno ha diramato agli organi di controllo la circolare del 3 febbraio 2026 con cui nel richiamare le disposizioni del decreto n. 494 del 25 novembre 2025, sottolinea che </w:t>
      </w:r>
      <w:r w:rsidRPr="00635C06">
        <w:rPr>
          <w:rFonts w:ascii="Times New Roman" w:hAnsi="Times New Roman" w:cs="Times New Roman"/>
          <w:b/>
          <w:bCs/>
          <w:sz w:val="26"/>
          <w:szCs w:val="26"/>
        </w:rPr>
        <w:t>“</w:t>
      </w:r>
      <w:r w:rsidRPr="00635C06">
        <w:rPr>
          <w:rFonts w:ascii="Times New Roman" w:hAnsi="Times New Roman" w:cs="Times New Roman"/>
          <w:b/>
          <w:bCs/>
          <w:sz w:val="26"/>
          <w:szCs w:val="26"/>
          <w:u w:val="single"/>
        </w:rPr>
        <w:t>attualmente nulla è variato per le restanti tipologie di macchine agricole per le quali è prevista una specifica disciplina tecnica di dettaglio, non ancora emanata</w:t>
      </w:r>
      <w:r w:rsidRPr="00635C06">
        <w:rPr>
          <w:rFonts w:ascii="Times New Roman" w:hAnsi="Times New Roman" w:cs="Times New Roman"/>
          <w:b/>
          <w:bCs/>
          <w:sz w:val="26"/>
          <w:szCs w:val="26"/>
        </w:rPr>
        <w:t>. QUINDI I TRATTORI CON VELOCITA’ DI PROGETTO PARI O INFERIORE A 40 ORARI ALLO STATO NON DEVONO FARE NULLA.</w:t>
      </w:r>
    </w:p>
    <w:p w14:paraId="5FAF4D18" w14:textId="77777777" w:rsidR="00DF4EBF" w:rsidRPr="00635C06" w:rsidRDefault="00DF4EBF" w:rsidP="00DF4EBF">
      <w:pPr>
        <w:spacing w:after="200" w:line="276" w:lineRule="auto"/>
        <w:jc w:val="both"/>
        <w:rPr>
          <w:rFonts w:ascii="Times New Roman" w:hAnsi="Times New Roman" w:cs="Times New Roman"/>
          <w:sz w:val="26"/>
          <w:szCs w:val="26"/>
        </w:rPr>
      </w:pPr>
      <w:r w:rsidRPr="00635C06">
        <w:rPr>
          <w:rFonts w:ascii="Times New Roman" w:hAnsi="Times New Roman" w:cs="Times New Roman"/>
          <w:sz w:val="26"/>
          <w:szCs w:val="26"/>
        </w:rPr>
        <w:t>Pertanto le scadenze previste per la revisione dallo stesso decreto riguardano esclusivamente i trattori agricoli a ruote di tipo veloce delle categorie T1b, T2b, T3b, T4b </w:t>
      </w:r>
      <w:r w:rsidRPr="00635C06">
        <w:rPr>
          <w:rFonts w:ascii="Times New Roman" w:hAnsi="Times New Roman" w:cs="Times New Roman"/>
          <w:b/>
          <w:bCs/>
          <w:sz w:val="26"/>
          <w:szCs w:val="26"/>
        </w:rPr>
        <w:t>(la lettera b indica che sono progettate con una velocità superiore a 40 km/h)</w:t>
      </w:r>
      <w:r w:rsidRPr="00635C06">
        <w:rPr>
          <w:rFonts w:ascii="Times New Roman" w:hAnsi="Times New Roman" w:cs="Times New Roman"/>
          <w:sz w:val="26"/>
          <w:szCs w:val="26"/>
        </w:rPr>
        <w:t> e T5. La specifica categoria di macchina agricola è desumibile, di norma, attraverso l’allegato tecnico che è parte integrante della carta di circolazione, ed in alcuni casi nelle righe descrittive della carta di circolazione stessa.</w:t>
      </w:r>
      <w:r w:rsidRPr="00635C06">
        <w:rPr>
          <w:rFonts w:ascii="Times New Roman" w:hAnsi="Times New Roman" w:cs="Times New Roman"/>
          <w:b/>
          <w:bCs/>
          <w:sz w:val="26"/>
          <w:szCs w:val="26"/>
        </w:rPr>
        <w:t> </w:t>
      </w:r>
    </w:p>
    <w:p w14:paraId="632D822F" w14:textId="77777777" w:rsidR="00DF4EBF" w:rsidRPr="00635C06" w:rsidRDefault="00DF4EBF" w:rsidP="00DF4EBF">
      <w:pPr>
        <w:spacing w:after="200" w:line="276" w:lineRule="auto"/>
        <w:jc w:val="both"/>
        <w:rPr>
          <w:rFonts w:ascii="Times New Roman" w:hAnsi="Times New Roman" w:cs="Times New Roman"/>
          <w:sz w:val="26"/>
          <w:szCs w:val="26"/>
        </w:rPr>
      </w:pPr>
      <w:r w:rsidRPr="00635C06">
        <w:rPr>
          <w:rFonts w:ascii="Times New Roman" w:hAnsi="Times New Roman" w:cs="Times New Roman"/>
          <w:sz w:val="26"/>
          <w:szCs w:val="26"/>
        </w:rPr>
        <w:t>Per quanto riguarda le restanti tipologie di macchine agricole dovrebbe essere concessa una ulteriore proroga nell’ambito della conversione in legge del decreto legge 200/2025 visto che la prima scadenza era prevista al 31 dicembre 2025 per i veicoli immatricolati entro il 31 dicembre 1983. Proroga che si rende necessaria in quanto non è stato ancora emanato il Decreto Ministeriale, di concerto tra Ministero delle infrastrutture e trasporti e il MASAF, che definisce le modalità di esecuzione della revisione delle macchine agricole, ossia gli elementi su cui verte il controllo che verrà effettuato in sede di revisione, le tariffe dovute nonché le officine autorizzate all’effettuazione della revisione.</w:t>
      </w:r>
    </w:p>
    <w:sectPr w:rsidR="00DF4EBF" w:rsidRPr="00635C0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B8E0" w14:textId="77777777" w:rsidR="00145E6B" w:rsidRDefault="00145E6B" w:rsidP="006C1F6C">
      <w:pPr>
        <w:spacing w:after="0" w:line="240" w:lineRule="auto"/>
      </w:pPr>
      <w:r>
        <w:separator/>
      </w:r>
    </w:p>
  </w:endnote>
  <w:endnote w:type="continuationSeparator" w:id="0">
    <w:p w14:paraId="2EF415AC" w14:textId="77777777" w:rsidR="00145E6B" w:rsidRDefault="00145E6B" w:rsidP="006C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EB30" w14:textId="77777777" w:rsidR="00145E6B" w:rsidRDefault="00145E6B" w:rsidP="006C1F6C">
      <w:pPr>
        <w:spacing w:after="0" w:line="240" w:lineRule="auto"/>
      </w:pPr>
      <w:r>
        <w:separator/>
      </w:r>
    </w:p>
  </w:footnote>
  <w:footnote w:type="continuationSeparator" w:id="0">
    <w:p w14:paraId="4470D164" w14:textId="77777777" w:rsidR="00145E6B" w:rsidRDefault="00145E6B" w:rsidP="006C1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C294" w14:textId="61E00951" w:rsidR="006C1F6C" w:rsidRDefault="006C1F6C">
    <w:pPr>
      <w:pStyle w:val="Intestazione"/>
    </w:pPr>
    <w:r>
      <w:rPr>
        <w:noProof/>
      </w:rPr>
      <w:drawing>
        <wp:inline distT="0" distB="0" distL="0" distR="0" wp14:anchorId="1089C429" wp14:editId="03FED85D">
          <wp:extent cx="2282342" cy="584509"/>
          <wp:effectExtent l="0" t="0" r="3810" b="635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0183" cy="5865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A1302"/>
    <w:multiLevelType w:val="hybridMultilevel"/>
    <w:tmpl w:val="BC1870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A84248"/>
    <w:multiLevelType w:val="hybridMultilevel"/>
    <w:tmpl w:val="E7BEEF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35839425">
    <w:abstractNumId w:val="1"/>
  </w:num>
  <w:num w:numId="2" w16cid:durableId="111150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4C"/>
    <w:rsid w:val="000100E9"/>
    <w:rsid w:val="00014A3B"/>
    <w:rsid w:val="00145E6B"/>
    <w:rsid w:val="001576F4"/>
    <w:rsid w:val="001727D8"/>
    <w:rsid w:val="002B1321"/>
    <w:rsid w:val="0033184C"/>
    <w:rsid w:val="003825AF"/>
    <w:rsid w:val="00385664"/>
    <w:rsid w:val="003B50E6"/>
    <w:rsid w:val="0044539A"/>
    <w:rsid w:val="004D077B"/>
    <w:rsid w:val="00631334"/>
    <w:rsid w:val="00634403"/>
    <w:rsid w:val="006C1F6C"/>
    <w:rsid w:val="007156C0"/>
    <w:rsid w:val="008F5CF7"/>
    <w:rsid w:val="009E09C8"/>
    <w:rsid w:val="00A215FC"/>
    <w:rsid w:val="00B02AEA"/>
    <w:rsid w:val="00B73269"/>
    <w:rsid w:val="00CD0D27"/>
    <w:rsid w:val="00DC3674"/>
    <w:rsid w:val="00DF4EBF"/>
    <w:rsid w:val="00EC6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FBB7"/>
  <w15:chartTrackingRefBased/>
  <w15:docId w15:val="{C21A9AE0-5074-477F-BEF2-98B74929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18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3318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33184C"/>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33184C"/>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33184C"/>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3318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18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18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18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184C"/>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33184C"/>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33184C"/>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33184C"/>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33184C"/>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3318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18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18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18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1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18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184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18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184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184C"/>
    <w:rPr>
      <w:i/>
      <w:iCs/>
      <w:color w:val="404040" w:themeColor="text1" w:themeTint="BF"/>
    </w:rPr>
  </w:style>
  <w:style w:type="paragraph" w:styleId="Paragrafoelenco">
    <w:name w:val="List Paragraph"/>
    <w:basedOn w:val="Normale"/>
    <w:uiPriority w:val="34"/>
    <w:qFormat/>
    <w:rsid w:val="0033184C"/>
    <w:pPr>
      <w:ind w:left="720"/>
      <w:contextualSpacing/>
    </w:pPr>
  </w:style>
  <w:style w:type="character" w:styleId="Enfasiintensa">
    <w:name w:val="Intense Emphasis"/>
    <w:basedOn w:val="Carpredefinitoparagrafo"/>
    <w:uiPriority w:val="21"/>
    <w:qFormat/>
    <w:rsid w:val="0033184C"/>
    <w:rPr>
      <w:i/>
      <w:iCs/>
      <w:color w:val="2E74B5" w:themeColor="accent1" w:themeShade="BF"/>
    </w:rPr>
  </w:style>
  <w:style w:type="paragraph" w:styleId="Citazioneintensa">
    <w:name w:val="Intense Quote"/>
    <w:basedOn w:val="Normale"/>
    <w:next w:val="Normale"/>
    <w:link w:val="CitazioneintensaCarattere"/>
    <w:uiPriority w:val="30"/>
    <w:qFormat/>
    <w:rsid w:val="003318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33184C"/>
    <w:rPr>
      <w:i/>
      <w:iCs/>
      <w:color w:val="2E74B5" w:themeColor="accent1" w:themeShade="BF"/>
    </w:rPr>
  </w:style>
  <w:style w:type="character" w:styleId="Riferimentointenso">
    <w:name w:val="Intense Reference"/>
    <w:basedOn w:val="Carpredefinitoparagrafo"/>
    <w:uiPriority w:val="32"/>
    <w:qFormat/>
    <w:rsid w:val="0033184C"/>
    <w:rPr>
      <w:b/>
      <w:bCs/>
      <w:smallCaps/>
      <w:color w:val="2E74B5" w:themeColor="accent1" w:themeShade="BF"/>
      <w:spacing w:val="5"/>
    </w:rPr>
  </w:style>
  <w:style w:type="paragraph" w:styleId="Intestazione">
    <w:name w:val="header"/>
    <w:basedOn w:val="Normale"/>
    <w:link w:val="IntestazioneCarattere"/>
    <w:uiPriority w:val="99"/>
    <w:unhideWhenUsed/>
    <w:rsid w:val="006C1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1F6C"/>
  </w:style>
  <w:style w:type="paragraph" w:styleId="Pidipagina">
    <w:name w:val="footer"/>
    <w:basedOn w:val="Normale"/>
    <w:link w:val="PidipaginaCarattere"/>
    <w:uiPriority w:val="99"/>
    <w:unhideWhenUsed/>
    <w:rsid w:val="006C1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Porcelli</dc:creator>
  <cp:keywords/>
  <dc:description/>
  <cp:lastModifiedBy>Gianni  Porcelli</cp:lastModifiedBy>
  <cp:revision>2</cp:revision>
  <dcterms:created xsi:type="dcterms:W3CDTF">2026-02-18T11:14:00Z</dcterms:created>
  <dcterms:modified xsi:type="dcterms:W3CDTF">2026-02-18T11:14:00Z</dcterms:modified>
</cp:coreProperties>
</file>